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A56" w:rsidRDefault="00631A56" w:rsidP="00631A56">
      <w:pPr>
        <w:spacing w:after="120"/>
        <w:jc w:val="center"/>
        <w:rPr>
          <w:b/>
          <w:sz w:val="28"/>
          <w:szCs w:val="28"/>
        </w:rPr>
      </w:pPr>
    </w:p>
    <w:p w:rsidR="00631A56" w:rsidRDefault="00631A56" w:rsidP="00631A56">
      <w:pPr>
        <w:spacing w:after="120"/>
        <w:jc w:val="center"/>
        <w:rPr>
          <w:b/>
          <w:sz w:val="28"/>
          <w:szCs w:val="28"/>
        </w:rPr>
      </w:pPr>
    </w:p>
    <w:p w:rsidR="00631A56" w:rsidRDefault="00631A56" w:rsidP="00631A56">
      <w:pPr>
        <w:spacing w:after="120"/>
        <w:jc w:val="center"/>
        <w:rPr>
          <w:b/>
          <w:sz w:val="28"/>
          <w:szCs w:val="28"/>
        </w:rPr>
      </w:pPr>
      <w:r>
        <w:rPr>
          <w:rFonts w:ascii="Britannic Bold" w:hAnsi="Britannic Bold" w:cstheme="minorHAnsi"/>
          <w:b/>
          <w:bCs/>
          <w:noProof/>
          <w:sz w:val="40"/>
          <w:szCs w:val="28"/>
          <w:lang w:val="en-GB" w:eastAsia="en-GB"/>
        </w:rPr>
        <w:drawing>
          <wp:inline distT="0" distB="0" distL="0" distR="0">
            <wp:extent cx="5095081" cy="1400175"/>
            <wp:effectExtent l="0" t="0" r="0" b="0"/>
            <wp:docPr id="2" name="Picture 2" descr="Z:\Dropbox\Work\EDAL\IRC Consultancy II\Images\EDAL logo files\EDAL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ropbox\Work\EDAL\IRC Consultancy II\Images\EDAL logo files\EDAL_cmyk.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95081" cy="1400175"/>
                    </a:xfrm>
                    <a:prstGeom prst="rect">
                      <a:avLst/>
                    </a:prstGeom>
                    <a:noFill/>
                    <a:ln>
                      <a:noFill/>
                    </a:ln>
                  </pic:spPr>
                </pic:pic>
              </a:graphicData>
            </a:graphic>
          </wp:inline>
        </w:drawing>
      </w:r>
    </w:p>
    <w:p w:rsidR="00631A56" w:rsidRPr="00654855" w:rsidRDefault="00631A56" w:rsidP="00631A56">
      <w:pPr>
        <w:spacing w:after="120"/>
        <w:jc w:val="center"/>
        <w:rPr>
          <w:b/>
          <w:sz w:val="28"/>
          <w:szCs w:val="28"/>
        </w:rPr>
      </w:pPr>
    </w:p>
    <w:p w:rsidR="00631A56" w:rsidRPr="00654855" w:rsidRDefault="00631A56" w:rsidP="00631A56">
      <w:pPr>
        <w:spacing w:after="120"/>
        <w:jc w:val="center"/>
        <w:rPr>
          <w:b/>
          <w:sz w:val="44"/>
          <w:szCs w:val="44"/>
        </w:rPr>
      </w:pPr>
    </w:p>
    <w:p w:rsidR="00631A56" w:rsidRPr="00654855" w:rsidRDefault="00631A56" w:rsidP="00631A56">
      <w:pPr>
        <w:spacing w:after="120"/>
        <w:rPr>
          <w:sz w:val="44"/>
          <w:szCs w:val="44"/>
        </w:rPr>
      </w:pPr>
    </w:p>
    <w:p w:rsidR="00631A56" w:rsidRPr="00707245" w:rsidRDefault="00631A56" w:rsidP="00631A56">
      <w:pPr>
        <w:spacing w:after="120"/>
        <w:jc w:val="center"/>
        <w:rPr>
          <w:b/>
          <w:sz w:val="56"/>
          <w:szCs w:val="44"/>
          <w:lang w:val="sv-SE"/>
        </w:rPr>
      </w:pPr>
      <w:r>
        <w:rPr>
          <w:b/>
          <w:bCs/>
          <w:sz w:val="56"/>
          <w:szCs w:val="44"/>
          <w:lang w:val="sv-SE"/>
        </w:rPr>
        <w:t>Urvalskriterier för ärenden och</w:t>
      </w:r>
    </w:p>
    <w:p w:rsidR="00631A56" w:rsidRPr="00707245" w:rsidRDefault="00631A56" w:rsidP="00631A56">
      <w:pPr>
        <w:spacing w:after="120"/>
        <w:jc w:val="center"/>
        <w:rPr>
          <w:b/>
          <w:sz w:val="56"/>
          <w:szCs w:val="44"/>
          <w:lang w:val="sv-SE"/>
        </w:rPr>
      </w:pPr>
      <w:r>
        <w:rPr>
          <w:b/>
          <w:bCs/>
          <w:sz w:val="56"/>
          <w:szCs w:val="44"/>
          <w:lang w:val="sv-SE"/>
        </w:rPr>
        <w:t>stilguide för sammanfattning</w:t>
      </w:r>
    </w:p>
    <w:p w:rsidR="00631A56" w:rsidRPr="00707245" w:rsidRDefault="00631A56" w:rsidP="00631A56">
      <w:pPr>
        <w:spacing w:after="120"/>
        <w:jc w:val="center"/>
        <w:rPr>
          <w:sz w:val="44"/>
          <w:szCs w:val="44"/>
          <w:lang w:val="sv-SE"/>
        </w:rPr>
      </w:pPr>
    </w:p>
    <w:p w:rsidR="00631A56" w:rsidRPr="00707245" w:rsidRDefault="00631A56" w:rsidP="00631A56">
      <w:pPr>
        <w:spacing w:after="120"/>
        <w:jc w:val="center"/>
        <w:rPr>
          <w:sz w:val="44"/>
          <w:szCs w:val="44"/>
          <w:lang w:val="sv-SE"/>
        </w:rPr>
      </w:pPr>
    </w:p>
    <w:p w:rsidR="00631A56" w:rsidRPr="00707245" w:rsidRDefault="00631A56" w:rsidP="00631A56">
      <w:pPr>
        <w:spacing w:after="120"/>
        <w:jc w:val="center"/>
        <w:rPr>
          <w:sz w:val="44"/>
          <w:szCs w:val="44"/>
          <w:lang w:val="sv-SE"/>
        </w:rPr>
      </w:pPr>
    </w:p>
    <w:p w:rsidR="00631A56" w:rsidRDefault="00DC551C" w:rsidP="00631A56">
      <w:pPr>
        <w:spacing w:after="120"/>
        <w:jc w:val="center"/>
        <w:rPr>
          <w:i/>
          <w:sz w:val="32"/>
          <w:szCs w:val="44"/>
        </w:rPr>
      </w:pPr>
      <w:r>
        <w:rPr>
          <w:i/>
          <w:iCs/>
          <w:sz w:val="32"/>
          <w:szCs w:val="44"/>
          <w:lang w:val="sv-SE"/>
        </w:rPr>
        <w:t>2015</w:t>
      </w:r>
    </w:p>
    <w:p w:rsidR="00631A56" w:rsidRDefault="00631A56" w:rsidP="00631A56">
      <w:pPr>
        <w:spacing w:after="120"/>
        <w:jc w:val="center"/>
        <w:rPr>
          <w:i/>
          <w:sz w:val="32"/>
          <w:szCs w:val="44"/>
        </w:rPr>
      </w:pPr>
    </w:p>
    <w:p w:rsidR="00631A56" w:rsidRDefault="00631A56" w:rsidP="00631A56">
      <w:pPr>
        <w:spacing w:after="120"/>
        <w:jc w:val="center"/>
        <w:rPr>
          <w:i/>
          <w:sz w:val="32"/>
          <w:szCs w:val="44"/>
        </w:rPr>
      </w:pPr>
    </w:p>
    <w:p w:rsidR="00631A56" w:rsidRDefault="00631A56" w:rsidP="00631A56">
      <w:pPr>
        <w:spacing w:after="120"/>
        <w:jc w:val="center"/>
        <w:rPr>
          <w:i/>
          <w:sz w:val="32"/>
          <w:szCs w:val="44"/>
        </w:rPr>
      </w:pPr>
    </w:p>
    <w:p w:rsidR="00631A56" w:rsidRDefault="00631A56" w:rsidP="00631A56">
      <w:pPr>
        <w:spacing w:after="120"/>
        <w:rPr>
          <w:rFonts w:asciiTheme="minorHAnsi" w:hAnsiTheme="minorHAnsi" w:cstheme="minorHAnsi"/>
        </w:rPr>
        <w:sectPr w:rsidR="00631A56">
          <w:type w:val="continuous"/>
          <w:pgSz w:w="11906" w:h="16838"/>
          <w:pgMar w:top="1440" w:right="1440" w:bottom="1440" w:left="1440" w:header="708" w:footer="708" w:gutter="0"/>
          <w:pgNumType w:start="1"/>
          <w:cols w:space="708"/>
          <w:docGrid w:linePitch="360"/>
        </w:sectPr>
      </w:pPr>
      <w:r>
        <w:rPr>
          <w:rFonts w:asciiTheme="minorHAnsi" w:hAnsiTheme="minorHAnsi" w:cstheme="minorHAnsi"/>
          <w:noProof/>
          <w:lang w:val="en-GB" w:eastAsia="en-GB"/>
        </w:rPr>
        <w:drawing>
          <wp:inline distT="0" distB="0" distL="0" distR="0" wp14:anchorId="7C3BB889" wp14:editId="1A235077">
            <wp:extent cx="895985" cy="920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985" cy="920750"/>
                    </a:xfrm>
                    <a:prstGeom prst="rect">
                      <a:avLst/>
                    </a:prstGeom>
                    <a:noFill/>
                  </pic:spPr>
                </pic:pic>
              </a:graphicData>
            </a:graphic>
          </wp:inline>
        </w:drawing>
      </w:r>
      <w:r w:rsidR="00707245">
        <w:rPr>
          <w:rFonts w:asciiTheme="minorHAnsi" w:hAnsiTheme="minorHAnsi" w:cstheme="minorHAnsi"/>
          <w:lang w:val="sv-SE"/>
        </w:rPr>
        <w:tab/>
        <w:t xml:space="preserve">      </w:t>
      </w:r>
      <w:r>
        <w:rPr>
          <w:rFonts w:asciiTheme="minorHAnsi" w:hAnsiTheme="minorHAnsi" w:cstheme="minorHAnsi"/>
          <w:b/>
          <w:bCs/>
          <w:noProof/>
          <w:lang w:val="en-GB" w:eastAsia="en-GB"/>
        </w:rPr>
        <w:drawing>
          <wp:inline distT="0" distB="0" distL="0" distR="0" wp14:anchorId="57D29FE6" wp14:editId="464D1D03">
            <wp:extent cx="1078865" cy="902335"/>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8865" cy="902335"/>
                    </a:xfrm>
                    <a:prstGeom prst="rect">
                      <a:avLst/>
                    </a:prstGeom>
                    <a:noFill/>
                  </pic:spPr>
                </pic:pic>
              </a:graphicData>
            </a:graphic>
          </wp:inline>
        </w:drawing>
      </w:r>
      <w:r>
        <w:rPr>
          <w:rFonts w:asciiTheme="minorHAnsi" w:hAnsiTheme="minorHAnsi" w:cstheme="minorHAnsi"/>
          <w:lang w:val="sv-SE"/>
        </w:rPr>
        <w:tab/>
      </w:r>
      <w:r>
        <w:rPr>
          <w:rFonts w:asciiTheme="minorHAnsi" w:hAnsiTheme="minorHAnsi" w:cstheme="minorHAnsi"/>
          <w:lang w:val="sv-SE"/>
        </w:rPr>
        <w:tab/>
      </w:r>
      <w:r>
        <w:rPr>
          <w:rFonts w:asciiTheme="minorHAnsi" w:hAnsiTheme="minorHAnsi" w:cstheme="minorHAnsi"/>
          <w:b/>
          <w:bCs/>
          <w:noProof/>
          <w:lang w:val="en-GB" w:eastAsia="en-GB"/>
        </w:rPr>
        <w:drawing>
          <wp:inline distT="0" distB="0" distL="0" distR="0" wp14:anchorId="175EC97E" wp14:editId="2A64B29A">
            <wp:extent cx="743585" cy="914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85" cy="914400"/>
                    </a:xfrm>
                    <a:prstGeom prst="rect">
                      <a:avLst/>
                    </a:prstGeom>
                    <a:noFill/>
                  </pic:spPr>
                </pic:pic>
              </a:graphicData>
            </a:graphic>
          </wp:inline>
        </w:drawing>
      </w:r>
      <w:r>
        <w:rPr>
          <w:rFonts w:asciiTheme="minorHAnsi" w:hAnsiTheme="minorHAnsi" w:cstheme="minorHAnsi"/>
          <w:lang w:val="sv-SE"/>
        </w:rPr>
        <w:tab/>
      </w:r>
      <w:r>
        <w:rPr>
          <w:rFonts w:asciiTheme="minorHAnsi" w:hAnsiTheme="minorHAnsi" w:cstheme="minorHAnsi"/>
          <w:lang w:val="sv-SE"/>
        </w:rPr>
        <w:tab/>
      </w:r>
      <w:r>
        <w:rPr>
          <w:rFonts w:asciiTheme="minorHAnsi" w:hAnsiTheme="minorHAnsi" w:cstheme="minorHAnsi"/>
          <w:noProof/>
          <w:lang w:val="en-GB" w:eastAsia="en-GB"/>
        </w:rPr>
        <w:drawing>
          <wp:inline distT="0" distB="0" distL="0" distR="0" wp14:anchorId="742490E3" wp14:editId="39D75797">
            <wp:extent cx="1005840" cy="9144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05840" cy="914400"/>
                    </a:xfrm>
                    <a:prstGeom prst="rect">
                      <a:avLst/>
                    </a:prstGeom>
                    <a:noFill/>
                  </pic:spPr>
                </pic:pic>
              </a:graphicData>
            </a:graphic>
          </wp:inline>
        </w:drawing>
      </w:r>
    </w:p>
    <w:sdt>
      <w:sdtPr>
        <w:rPr>
          <w:rFonts w:ascii="Calibri" w:eastAsia="Calibri" w:hAnsi="Calibri" w:cs="Times New Roman"/>
          <w:b w:val="0"/>
          <w:bCs w:val="0"/>
          <w:color w:val="auto"/>
          <w:sz w:val="22"/>
          <w:szCs w:val="22"/>
          <w:lang w:val="en-IE" w:eastAsia="en-US"/>
        </w:rPr>
        <w:id w:val="1937480342"/>
        <w:docPartObj>
          <w:docPartGallery w:val="Table of Contents"/>
          <w:docPartUnique/>
        </w:docPartObj>
      </w:sdtPr>
      <w:sdtEndPr>
        <w:rPr>
          <w:noProof/>
        </w:rPr>
      </w:sdtEndPr>
      <w:sdtContent>
        <w:p w:rsidR="00631A56" w:rsidRDefault="00631A56" w:rsidP="00631A56">
          <w:pPr>
            <w:pStyle w:val="TOCHeading"/>
          </w:pPr>
          <w:r>
            <w:rPr>
              <w:lang w:val="sv-SE"/>
            </w:rPr>
            <w:t>Innehåll</w:t>
          </w:r>
        </w:p>
        <w:p w:rsidR="00631A56" w:rsidRPr="00631A56" w:rsidRDefault="00631A56" w:rsidP="00631A56"/>
        <w:p w:rsidR="00A03CEF" w:rsidRDefault="00501405">
          <w:pPr>
            <w:pStyle w:val="TOC1"/>
            <w:tabs>
              <w:tab w:val="right" w:leader="dot" w:pos="9016"/>
            </w:tabs>
            <w:rPr>
              <w:rFonts w:asciiTheme="minorHAnsi" w:eastAsiaTheme="minorEastAsia" w:hAnsiTheme="minorHAnsi" w:cstheme="minorBidi"/>
              <w:noProof/>
              <w:lang w:eastAsia="en-IE"/>
            </w:rPr>
          </w:pPr>
          <w:r>
            <w:rPr>
              <w:lang w:val="sv-SE"/>
            </w:rPr>
            <w:fldChar w:fldCharType="begin"/>
          </w:r>
          <w:r w:rsidR="001728FD">
            <w:instrText xml:space="preserve"> TOC \o "1-3" \h \z \u </w:instrText>
          </w:r>
          <w:r>
            <w:fldChar w:fldCharType="separate"/>
          </w:r>
          <w:hyperlink w:anchor="_Toc350765030" w:history="1">
            <w:r w:rsidR="00A03CEF" w:rsidRPr="00130DFB">
              <w:rPr>
                <w:rStyle w:val="Hyperlink"/>
                <w:bCs/>
                <w:iCs/>
                <w:noProof/>
                <w:lang w:val="sv-SE"/>
              </w:rPr>
              <w:t>Inledning</w:t>
            </w:r>
            <w:r w:rsidR="00A03CEF">
              <w:rPr>
                <w:noProof/>
                <w:webHidden/>
              </w:rPr>
              <w:tab/>
            </w:r>
            <w:r>
              <w:rPr>
                <w:noProof/>
                <w:webHidden/>
              </w:rPr>
              <w:fldChar w:fldCharType="begin"/>
            </w:r>
            <w:r w:rsidR="00A03CEF">
              <w:rPr>
                <w:noProof/>
                <w:webHidden/>
              </w:rPr>
              <w:instrText xml:space="preserve"> PAGEREF _Toc350765030 \h </w:instrText>
            </w:r>
            <w:r>
              <w:rPr>
                <w:noProof/>
                <w:webHidden/>
              </w:rPr>
            </w:r>
            <w:r>
              <w:rPr>
                <w:noProof/>
                <w:webHidden/>
              </w:rPr>
              <w:fldChar w:fldCharType="separate"/>
            </w:r>
            <w:r w:rsidR="00A03CEF">
              <w:rPr>
                <w:noProof/>
                <w:webHidden/>
              </w:rPr>
              <w:t>1</w:t>
            </w:r>
            <w:r>
              <w:rPr>
                <w:noProof/>
                <w:webHidden/>
              </w:rPr>
              <w:fldChar w:fldCharType="end"/>
            </w:r>
          </w:hyperlink>
        </w:p>
        <w:p w:rsidR="00A03CEF" w:rsidRDefault="00DC551C">
          <w:pPr>
            <w:pStyle w:val="TOC1"/>
            <w:tabs>
              <w:tab w:val="right" w:leader="dot" w:pos="9016"/>
            </w:tabs>
            <w:rPr>
              <w:rFonts w:asciiTheme="minorHAnsi" w:eastAsiaTheme="minorEastAsia" w:hAnsiTheme="minorHAnsi" w:cstheme="minorBidi"/>
              <w:noProof/>
              <w:lang w:eastAsia="en-IE"/>
            </w:rPr>
          </w:pPr>
          <w:hyperlink w:anchor="_Toc350765031" w:history="1">
            <w:r w:rsidR="00A03CEF" w:rsidRPr="00130DFB">
              <w:rPr>
                <w:rStyle w:val="Hyperlink"/>
                <w:bCs/>
                <w:iCs/>
                <w:noProof/>
                <w:lang w:val="sv-SE"/>
              </w:rPr>
              <w:t>Målsättning med databasen – målgrupp</w:t>
            </w:r>
            <w:r w:rsidR="00A03CEF">
              <w:rPr>
                <w:noProof/>
                <w:webHidden/>
              </w:rPr>
              <w:tab/>
            </w:r>
            <w:r w:rsidR="00501405">
              <w:rPr>
                <w:noProof/>
                <w:webHidden/>
              </w:rPr>
              <w:fldChar w:fldCharType="begin"/>
            </w:r>
            <w:r w:rsidR="00A03CEF">
              <w:rPr>
                <w:noProof/>
                <w:webHidden/>
              </w:rPr>
              <w:instrText xml:space="preserve"> PAGEREF _Toc350765031 \h </w:instrText>
            </w:r>
            <w:r w:rsidR="00501405">
              <w:rPr>
                <w:noProof/>
                <w:webHidden/>
              </w:rPr>
            </w:r>
            <w:r w:rsidR="00501405">
              <w:rPr>
                <w:noProof/>
                <w:webHidden/>
              </w:rPr>
              <w:fldChar w:fldCharType="separate"/>
            </w:r>
            <w:r w:rsidR="00A03CEF">
              <w:rPr>
                <w:noProof/>
                <w:webHidden/>
              </w:rPr>
              <w:t>1</w:t>
            </w:r>
            <w:r w:rsidR="00501405">
              <w:rPr>
                <w:noProof/>
                <w:webHidden/>
              </w:rPr>
              <w:fldChar w:fldCharType="end"/>
            </w:r>
          </w:hyperlink>
        </w:p>
        <w:p w:rsidR="00A03CEF" w:rsidRDefault="00DC551C">
          <w:pPr>
            <w:pStyle w:val="TOC1"/>
            <w:tabs>
              <w:tab w:val="right" w:leader="dot" w:pos="9016"/>
            </w:tabs>
            <w:rPr>
              <w:rFonts w:asciiTheme="minorHAnsi" w:eastAsiaTheme="minorEastAsia" w:hAnsiTheme="minorHAnsi" w:cstheme="minorBidi"/>
              <w:noProof/>
              <w:lang w:eastAsia="en-IE"/>
            </w:rPr>
          </w:pPr>
          <w:hyperlink w:anchor="_Toc350765032" w:history="1">
            <w:r w:rsidR="00A03CEF" w:rsidRPr="00130DFB">
              <w:rPr>
                <w:rStyle w:val="Hyperlink"/>
                <w:bCs/>
                <w:iCs/>
                <w:noProof/>
                <w:lang w:val="sv-SE"/>
              </w:rPr>
              <w:t>Inkluderade EU-direktiv och EU-förordningar</w:t>
            </w:r>
            <w:r w:rsidR="00A03CEF">
              <w:rPr>
                <w:noProof/>
                <w:webHidden/>
              </w:rPr>
              <w:tab/>
            </w:r>
            <w:r w:rsidR="00501405">
              <w:rPr>
                <w:noProof/>
                <w:webHidden/>
              </w:rPr>
              <w:fldChar w:fldCharType="begin"/>
            </w:r>
            <w:r w:rsidR="00A03CEF">
              <w:rPr>
                <w:noProof/>
                <w:webHidden/>
              </w:rPr>
              <w:instrText xml:space="preserve"> PAGEREF _Toc350765032 \h </w:instrText>
            </w:r>
            <w:r w:rsidR="00501405">
              <w:rPr>
                <w:noProof/>
                <w:webHidden/>
              </w:rPr>
            </w:r>
            <w:r w:rsidR="00501405">
              <w:rPr>
                <w:noProof/>
                <w:webHidden/>
              </w:rPr>
              <w:fldChar w:fldCharType="separate"/>
            </w:r>
            <w:r w:rsidR="00A03CEF">
              <w:rPr>
                <w:noProof/>
                <w:webHidden/>
              </w:rPr>
              <w:t>1</w:t>
            </w:r>
            <w:r w:rsidR="00501405">
              <w:rPr>
                <w:noProof/>
                <w:webHidden/>
              </w:rPr>
              <w:fldChar w:fldCharType="end"/>
            </w:r>
          </w:hyperlink>
        </w:p>
        <w:p w:rsidR="00A03CEF" w:rsidRDefault="00DC551C">
          <w:pPr>
            <w:pStyle w:val="TOC1"/>
            <w:tabs>
              <w:tab w:val="right" w:leader="dot" w:pos="9016"/>
            </w:tabs>
            <w:rPr>
              <w:rFonts w:asciiTheme="minorHAnsi" w:eastAsiaTheme="minorEastAsia" w:hAnsiTheme="minorHAnsi" w:cstheme="minorBidi"/>
              <w:noProof/>
              <w:lang w:eastAsia="en-IE"/>
            </w:rPr>
          </w:pPr>
          <w:hyperlink w:anchor="_Toc350765033" w:history="1">
            <w:r w:rsidR="00A03CEF" w:rsidRPr="00130DFB">
              <w:rPr>
                <w:rStyle w:val="Hyperlink"/>
                <w:bCs/>
                <w:iCs/>
                <w:noProof/>
                <w:lang w:val="sv-SE"/>
              </w:rPr>
              <w:t>Nationella experter</w:t>
            </w:r>
            <w:r w:rsidR="00A03CEF">
              <w:rPr>
                <w:noProof/>
                <w:webHidden/>
              </w:rPr>
              <w:tab/>
            </w:r>
            <w:r w:rsidR="00501405">
              <w:rPr>
                <w:noProof/>
                <w:webHidden/>
              </w:rPr>
              <w:fldChar w:fldCharType="begin"/>
            </w:r>
            <w:r w:rsidR="00A03CEF">
              <w:rPr>
                <w:noProof/>
                <w:webHidden/>
              </w:rPr>
              <w:instrText xml:space="preserve"> PAGEREF _Toc350765033 \h </w:instrText>
            </w:r>
            <w:r w:rsidR="00501405">
              <w:rPr>
                <w:noProof/>
                <w:webHidden/>
              </w:rPr>
            </w:r>
            <w:r w:rsidR="00501405">
              <w:rPr>
                <w:noProof/>
                <w:webHidden/>
              </w:rPr>
              <w:fldChar w:fldCharType="separate"/>
            </w:r>
            <w:r w:rsidR="00A03CEF">
              <w:rPr>
                <w:noProof/>
                <w:webHidden/>
              </w:rPr>
              <w:t>2</w:t>
            </w:r>
            <w:r w:rsidR="00501405">
              <w:rPr>
                <w:noProof/>
                <w:webHidden/>
              </w:rPr>
              <w:fldChar w:fldCharType="end"/>
            </w:r>
          </w:hyperlink>
        </w:p>
        <w:p w:rsidR="00A03CEF" w:rsidRDefault="00DC551C">
          <w:pPr>
            <w:pStyle w:val="TOC1"/>
            <w:tabs>
              <w:tab w:val="right" w:leader="dot" w:pos="9016"/>
            </w:tabs>
            <w:rPr>
              <w:rFonts w:asciiTheme="minorHAnsi" w:eastAsiaTheme="minorEastAsia" w:hAnsiTheme="minorHAnsi" w:cstheme="minorBidi"/>
              <w:noProof/>
              <w:lang w:eastAsia="en-IE"/>
            </w:rPr>
          </w:pPr>
          <w:hyperlink w:anchor="_Toc350765034" w:history="1">
            <w:r w:rsidR="00A03CEF" w:rsidRPr="00130DFB">
              <w:rPr>
                <w:rStyle w:val="Hyperlink"/>
                <w:bCs/>
                <w:iCs/>
                <w:noProof/>
                <w:lang w:val="sv-SE"/>
              </w:rPr>
              <w:t>Vägledande principer för val av ärende</w:t>
            </w:r>
            <w:r w:rsidR="00A03CEF">
              <w:rPr>
                <w:noProof/>
                <w:webHidden/>
              </w:rPr>
              <w:tab/>
            </w:r>
            <w:r w:rsidR="00501405">
              <w:rPr>
                <w:noProof/>
                <w:webHidden/>
              </w:rPr>
              <w:fldChar w:fldCharType="begin"/>
            </w:r>
            <w:r w:rsidR="00A03CEF">
              <w:rPr>
                <w:noProof/>
                <w:webHidden/>
              </w:rPr>
              <w:instrText xml:space="preserve"> PAGEREF _Toc350765034 \h </w:instrText>
            </w:r>
            <w:r w:rsidR="00501405">
              <w:rPr>
                <w:noProof/>
                <w:webHidden/>
              </w:rPr>
            </w:r>
            <w:r w:rsidR="00501405">
              <w:rPr>
                <w:noProof/>
                <w:webHidden/>
              </w:rPr>
              <w:fldChar w:fldCharType="separate"/>
            </w:r>
            <w:r w:rsidR="00A03CEF">
              <w:rPr>
                <w:noProof/>
                <w:webHidden/>
              </w:rPr>
              <w:t>2</w:t>
            </w:r>
            <w:r w:rsidR="00501405">
              <w:rPr>
                <w:noProof/>
                <w:webHidden/>
              </w:rPr>
              <w:fldChar w:fldCharType="end"/>
            </w:r>
          </w:hyperlink>
        </w:p>
        <w:p w:rsidR="00A03CEF" w:rsidRDefault="00DC551C">
          <w:pPr>
            <w:pStyle w:val="TOC1"/>
            <w:tabs>
              <w:tab w:val="right" w:leader="dot" w:pos="9016"/>
            </w:tabs>
            <w:rPr>
              <w:rFonts w:asciiTheme="minorHAnsi" w:eastAsiaTheme="minorEastAsia" w:hAnsiTheme="minorHAnsi" w:cstheme="minorBidi"/>
              <w:noProof/>
              <w:lang w:eastAsia="en-IE"/>
            </w:rPr>
          </w:pPr>
          <w:hyperlink w:anchor="_Toc350765035" w:history="1">
            <w:r w:rsidR="00A03CEF" w:rsidRPr="00130DFB">
              <w:rPr>
                <w:rStyle w:val="Hyperlink"/>
                <w:bCs/>
                <w:iCs/>
                <w:noProof/>
                <w:lang w:val="sv-SE"/>
              </w:rPr>
              <w:t>Stilguide</w:t>
            </w:r>
            <w:r w:rsidR="00A03CEF">
              <w:rPr>
                <w:noProof/>
                <w:webHidden/>
              </w:rPr>
              <w:tab/>
            </w:r>
            <w:r w:rsidR="00501405">
              <w:rPr>
                <w:noProof/>
                <w:webHidden/>
              </w:rPr>
              <w:fldChar w:fldCharType="begin"/>
            </w:r>
            <w:r w:rsidR="00A03CEF">
              <w:rPr>
                <w:noProof/>
                <w:webHidden/>
              </w:rPr>
              <w:instrText xml:space="preserve"> PAGEREF _Toc350765035 \h </w:instrText>
            </w:r>
            <w:r w:rsidR="00501405">
              <w:rPr>
                <w:noProof/>
                <w:webHidden/>
              </w:rPr>
            </w:r>
            <w:r w:rsidR="00501405">
              <w:rPr>
                <w:noProof/>
                <w:webHidden/>
              </w:rPr>
              <w:fldChar w:fldCharType="separate"/>
            </w:r>
            <w:r w:rsidR="00A03CEF">
              <w:rPr>
                <w:noProof/>
                <w:webHidden/>
              </w:rPr>
              <w:t>4</w:t>
            </w:r>
            <w:r w:rsidR="00501405">
              <w:rPr>
                <w:noProof/>
                <w:webHidden/>
              </w:rPr>
              <w:fldChar w:fldCharType="end"/>
            </w:r>
          </w:hyperlink>
        </w:p>
        <w:p w:rsidR="00A03CEF" w:rsidRDefault="00DC551C">
          <w:pPr>
            <w:pStyle w:val="TOC1"/>
            <w:tabs>
              <w:tab w:val="right" w:leader="dot" w:pos="9016"/>
            </w:tabs>
            <w:rPr>
              <w:rFonts w:asciiTheme="minorHAnsi" w:eastAsiaTheme="minorEastAsia" w:hAnsiTheme="minorHAnsi" w:cstheme="minorBidi"/>
              <w:noProof/>
              <w:lang w:eastAsia="en-IE"/>
            </w:rPr>
          </w:pPr>
          <w:hyperlink w:anchor="_Toc350765036" w:history="1">
            <w:r w:rsidR="00A03CEF" w:rsidRPr="00130DFB">
              <w:rPr>
                <w:rStyle w:val="Hyperlink"/>
                <w:bCs/>
                <w:iCs/>
                <w:noProof/>
                <w:lang w:val="sv-SE"/>
              </w:rPr>
              <w:t>Använda nyckelord</w:t>
            </w:r>
            <w:r w:rsidR="00A03CEF">
              <w:rPr>
                <w:noProof/>
                <w:webHidden/>
              </w:rPr>
              <w:tab/>
            </w:r>
            <w:r w:rsidR="00501405">
              <w:rPr>
                <w:noProof/>
                <w:webHidden/>
              </w:rPr>
              <w:fldChar w:fldCharType="begin"/>
            </w:r>
            <w:r w:rsidR="00A03CEF">
              <w:rPr>
                <w:noProof/>
                <w:webHidden/>
              </w:rPr>
              <w:instrText xml:space="preserve"> PAGEREF _Toc350765036 \h </w:instrText>
            </w:r>
            <w:r w:rsidR="00501405">
              <w:rPr>
                <w:noProof/>
                <w:webHidden/>
              </w:rPr>
            </w:r>
            <w:r w:rsidR="00501405">
              <w:rPr>
                <w:noProof/>
                <w:webHidden/>
              </w:rPr>
              <w:fldChar w:fldCharType="separate"/>
            </w:r>
            <w:r w:rsidR="00A03CEF">
              <w:rPr>
                <w:noProof/>
                <w:webHidden/>
              </w:rPr>
              <w:t>4</w:t>
            </w:r>
            <w:r w:rsidR="00501405">
              <w:rPr>
                <w:noProof/>
                <w:webHidden/>
              </w:rPr>
              <w:fldChar w:fldCharType="end"/>
            </w:r>
          </w:hyperlink>
        </w:p>
        <w:p w:rsidR="00A03CEF" w:rsidRDefault="00DC551C">
          <w:pPr>
            <w:pStyle w:val="TOC1"/>
            <w:tabs>
              <w:tab w:val="right" w:leader="dot" w:pos="9016"/>
            </w:tabs>
            <w:rPr>
              <w:rFonts w:asciiTheme="minorHAnsi" w:eastAsiaTheme="minorEastAsia" w:hAnsiTheme="minorHAnsi" w:cstheme="minorBidi"/>
              <w:noProof/>
              <w:lang w:eastAsia="en-IE"/>
            </w:rPr>
          </w:pPr>
          <w:hyperlink w:anchor="_Toc350765037" w:history="1">
            <w:r w:rsidR="00120E89">
              <w:rPr>
                <w:rStyle w:val="Hyperlink"/>
                <w:bCs/>
                <w:iCs/>
                <w:noProof/>
                <w:lang w:val="sv-SE"/>
              </w:rPr>
              <w:t xml:space="preserve">Mall för målsammanfattning </w:t>
            </w:r>
            <w:r w:rsidR="00A03CEF">
              <w:rPr>
                <w:noProof/>
                <w:webHidden/>
              </w:rPr>
              <w:tab/>
            </w:r>
            <w:r w:rsidR="00501405">
              <w:rPr>
                <w:noProof/>
                <w:webHidden/>
              </w:rPr>
              <w:fldChar w:fldCharType="begin"/>
            </w:r>
            <w:r w:rsidR="00A03CEF">
              <w:rPr>
                <w:noProof/>
                <w:webHidden/>
              </w:rPr>
              <w:instrText xml:space="preserve"> PAGEREF _Toc350765037 \h </w:instrText>
            </w:r>
            <w:r w:rsidR="00501405">
              <w:rPr>
                <w:noProof/>
                <w:webHidden/>
              </w:rPr>
            </w:r>
            <w:r w:rsidR="00501405">
              <w:rPr>
                <w:noProof/>
                <w:webHidden/>
              </w:rPr>
              <w:fldChar w:fldCharType="separate"/>
            </w:r>
            <w:r w:rsidR="00A03CEF">
              <w:rPr>
                <w:noProof/>
                <w:webHidden/>
              </w:rPr>
              <w:t>4</w:t>
            </w:r>
            <w:r w:rsidR="00501405">
              <w:rPr>
                <w:noProof/>
                <w:webHidden/>
              </w:rPr>
              <w:fldChar w:fldCharType="end"/>
            </w:r>
          </w:hyperlink>
        </w:p>
        <w:p w:rsidR="00A03CEF" w:rsidRDefault="00DC551C">
          <w:pPr>
            <w:pStyle w:val="TOC1"/>
            <w:tabs>
              <w:tab w:val="right" w:leader="dot" w:pos="9016"/>
            </w:tabs>
            <w:rPr>
              <w:rFonts w:asciiTheme="minorHAnsi" w:eastAsiaTheme="minorEastAsia" w:hAnsiTheme="minorHAnsi" w:cstheme="minorBidi"/>
              <w:noProof/>
              <w:lang w:eastAsia="en-IE"/>
            </w:rPr>
          </w:pPr>
          <w:hyperlink w:anchor="_Toc350765038" w:history="1">
            <w:r w:rsidR="00A03CEF" w:rsidRPr="00130DFB">
              <w:rPr>
                <w:rStyle w:val="Hyperlink"/>
                <w:bCs/>
                <w:iCs/>
                <w:noProof/>
                <w:lang w:val="sv-SE"/>
              </w:rPr>
              <w:t>Landöversikt</w:t>
            </w:r>
            <w:r w:rsidR="00A03CEF">
              <w:rPr>
                <w:noProof/>
                <w:webHidden/>
              </w:rPr>
              <w:tab/>
            </w:r>
            <w:r w:rsidR="00501405">
              <w:rPr>
                <w:noProof/>
                <w:webHidden/>
              </w:rPr>
              <w:fldChar w:fldCharType="begin"/>
            </w:r>
            <w:r w:rsidR="00A03CEF">
              <w:rPr>
                <w:noProof/>
                <w:webHidden/>
              </w:rPr>
              <w:instrText xml:space="preserve"> PAGEREF _Toc350765038 \h </w:instrText>
            </w:r>
            <w:r w:rsidR="00501405">
              <w:rPr>
                <w:noProof/>
                <w:webHidden/>
              </w:rPr>
            </w:r>
            <w:r w:rsidR="00501405">
              <w:rPr>
                <w:noProof/>
                <w:webHidden/>
              </w:rPr>
              <w:fldChar w:fldCharType="separate"/>
            </w:r>
            <w:r w:rsidR="00A03CEF">
              <w:rPr>
                <w:noProof/>
                <w:webHidden/>
              </w:rPr>
              <w:t>5</w:t>
            </w:r>
            <w:r w:rsidR="00501405">
              <w:rPr>
                <w:noProof/>
                <w:webHidden/>
              </w:rPr>
              <w:fldChar w:fldCharType="end"/>
            </w:r>
          </w:hyperlink>
        </w:p>
        <w:p w:rsidR="001728FD" w:rsidRDefault="00501405">
          <w:r>
            <w:rPr>
              <w:b/>
              <w:bCs/>
              <w:noProof/>
            </w:rPr>
            <w:fldChar w:fldCharType="end"/>
          </w:r>
        </w:p>
      </w:sdtContent>
    </w:sdt>
    <w:p w:rsidR="00145027" w:rsidRDefault="00145027" w:rsidP="00C12DD1">
      <w:pPr>
        <w:spacing w:after="120"/>
        <w:rPr>
          <w:b/>
          <w:i/>
        </w:rPr>
      </w:pPr>
    </w:p>
    <w:p w:rsidR="00B15A12" w:rsidRDefault="001728FD">
      <w:pPr>
        <w:rPr>
          <w:rFonts w:asciiTheme="minorHAnsi" w:hAnsiTheme="minorHAnsi" w:cstheme="minorHAnsi"/>
          <w:b/>
          <w:i/>
        </w:rPr>
        <w:sectPr w:rsidR="00B15A12">
          <w:type w:val="continuous"/>
          <w:pgSz w:w="11906" w:h="16838"/>
          <w:pgMar w:top="1440" w:right="1440" w:bottom="1440" w:left="1440" w:header="708" w:footer="708" w:gutter="0"/>
          <w:cols w:space="708"/>
          <w:docGrid w:linePitch="360"/>
        </w:sectPr>
      </w:pPr>
      <w:r>
        <w:rPr>
          <w:rFonts w:asciiTheme="minorHAnsi" w:hAnsiTheme="minorHAnsi" w:cstheme="minorHAnsi"/>
          <w:b/>
          <w:bCs/>
          <w:i/>
          <w:iCs/>
          <w:lang w:val="sv-SE"/>
        </w:rPr>
        <w:br w:type="page"/>
      </w:r>
    </w:p>
    <w:p w:rsidR="00E2001A" w:rsidRPr="00707245" w:rsidRDefault="00035841" w:rsidP="00B27B2F">
      <w:pPr>
        <w:pStyle w:val="Heading1"/>
        <w:spacing w:before="360" w:beforeAutospacing="0"/>
        <w:rPr>
          <w:lang w:val="sv-SE"/>
        </w:rPr>
      </w:pPr>
      <w:bookmarkStart w:id="0" w:name="_Toc350765030"/>
      <w:r>
        <w:rPr>
          <w:bCs/>
          <w:iCs/>
          <w:lang w:val="sv-SE"/>
        </w:rPr>
        <w:lastRenderedPageBreak/>
        <w:t>Inledning</w:t>
      </w:r>
      <w:bookmarkEnd w:id="0"/>
    </w:p>
    <w:p w:rsidR="00B15A12" w:rsidRPr="00707245" w:rsidRDefault="00B15A12" w:rsidP="0033389E">
      <w:pPr>
        <w:spacing w:before="100" w:beforeAutospacing="1" w:after="100" w:afterAutospacing="1" w:line="240" w:lineRule="auto"/>
        <w:jc w:val="both"/>
        <w:rPr>
          <w:rFonts w:asciiTheme="minorHAnsi" w:hAnsiTheme="minorHAnsi" w:cstheme="minorHAnsi"/>
          <w:lang w:val="sv-SE"/>
        </w:rPr>
      </w:pPr>
      <w:r>
        <w:rPr>
          <w:lang w:val="sv-SE"/>
        </w:rPr>
        <w:t>EDAL (European Database of Asylum Law) är en internetbaserad databas med rättspraxis från 17 EU-medlemsstater som uttolkar flykting- och asyl</w:t>
      </w:r>
      <w:r w:rsidR="00120E89">
        <w:rPr>
          <w:lang w:val="sv-SE"/>
        </w:rPr>
        <w:t>rätt</w:t>
      </w:r>
      <w:r>
        <w:rPr>
          <w:lang w:val="sv-SE"/>
        </w:rPr>
        <w:t xml:space="preserve">. </w:t>
      </w:r>
      <w:r>
        <w:rPr>
          <w:rFonts w:asciiTheme="minorHAnsi" w:hAnsiTheme="minorHAnsi" w:cstheme="minorHAnsi"/>
          <w:lang w:val="sv-SE"/>
        </w:rPr>
        <w:t>Nationella experter rekryteras i varje medlemsstat med uppgift att välja ut lämpliga ärenden, sammanfatta och märka dem samt att ladda upp dem till databasen.</w:t>
      </w:r>
      <w:r>
        <w:rPr>
          <w:lang w:val="sv-SE"/>
        </w:rPr>
        <w:t xml:space="preserve"> EDAL-sammanfattningar utarbetas på det språk domen ursprungligen avkunnades, översätts till engelska och förses med en länk till originalversionen av domen om denna finns tillgänglig.</w:t>
      </w:r>
      <w:r>
        <w:rPr>
          <w:rFonts w:asciiTheme="minorHAnsi" w:hAnsiTheme="minorHAnsi" w:cstheme="minorHAnsi"/>
          <w:lang w:val="sv-SE"/>
        </w:rPr>
        <w:t xml:space="preserve"> </w:t>
      </w:r>
    </w:p>
    <w:p w:rsidR="00035841" w:rsidRPr="00707245" w:rsidRDefault="00035841" w:rsidP="00B27B2F">
      <w:pPr>
        <w:pStyle w:val="Heading1"/>
        <w:spacing w:before="360" w:beforeAutospacing="0"/>
        <w:rPr>
          <w:lang w:val="sv-SE"/>
        </w:rPr>
      </w:pPr>
      <w:bookmarkStart w:id="1" w:name="_Toc350765031"/>
      <w:r>
        <w:rPr>
          <w:bCs/>
          <w:iCs/>
          <w:lang w:val="sv-SE"/>
        </w:rPr>
        <w:t>Målsättning med databasen – målgrupp</w:t>
      </w:r>
      <w:bookmarkEnd w:id="1"/>
      <w:r>
        <w:rPr>
          <w:b w:val="0"/>
          <w:i w:val="0"/>
          <w:lang w:val="sv-SE"/>
        </w:rPr>
        <w:t xml:space="preserve"> </w:t>
      </w:r>
    </w:p>
    <w:p w:rsidR="003B6C06" w:rsidRPr="00707245" w:rsidRDefault="00664E49" w:rsidP="0033389E">
      <w:p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 xml:space="preserve">Den rättspraxis som lagras på EDAL är till nytta i det berörda landet men också på europeisk nivå. I vissa länder </w:t>
      </w:r>
      <w:r w:rsidR="00120E89">
        <w:rPr>
          <w:rFonts w:asciiTheme="minorHAnsi" w:hAnsiTheme="minorHAnsi" w:cstheme="minorHAnsi"/>
          <w:lang w:val="sv-SE"/>
        </w:rPr>
        <w:t>tillgänglig</w:t>
      </w:r>
      <w:r>
        <w:rPr>
          <w:rFonts w:asciiTheme="minorHAnsi" w:hAnsiTheme="minorHAnsi" w:cstheme="minorHAnsi"/>
          <w:lang w:val="sv-SE"/>
        </w:rPr>
        <w:t>gör EDAL</w:t>
      </w:r>
      <w:r w:rsidR="0098107C">
        <w:rPr>
          <w:rFonts w:asciiTheme="minorHAnsi" w:hAnsiTheme="minorHAnsi" w:cstheme="minorHAnsi"/>
          <w:lang w:val="sv-SE"/>
        </w:rPr>
        <w:t>, för första gången,</w:t>
      </w:r>
      <w:r>
        <w:rPr>
          <w:rFonts w:asciiTheme="minorHAnsi" w:hAnsiTheme="minorHAnsi" w:cstheme="minorHAnsi"/>
          <w:lang w:val="sv-SE"/>
        </w:rPr>
        <w:t xml:space="preserve"> nationell juridik</w:t>
      </w:r>
      <w:r w:rsidR="00120E89">
        <w:rPr>
          <w:rFonts w:asciiTheme="minorHAnsi" w:hAnsiTheme="minorHAnsi" w:cstheme="minorHAnsi"/>
          <w:lang w:val="sv-SE"/>
        </w:rPr>
        <w:t xml:space="preserve"> i ett öppet och hanterbart format</w:t>
      </w:r>
      <w:r>
        <w:rPr>
          <w:rFonts w:asciiTheme="minorHAnsi" w:hAnsiTheme="minorHAnsi" w:cstheme="minorHAnsi"/>
          <w:lang w:val="sv-SE"/>
        </w:rPr>
        <w:t xml:space="preserve"> på internet</w:t>
      </w:r>
      <w:r w:rsidR="0098107C">
        <w:rPr>
          <w:rFonts w:asciiTheme="minorHAnsi" w:hAnsiTheme="minorHAnsi" w:cstheme="minorHAnsi"/>
          <w:lang w:val="sv-SE"/>
        </w:rPr>
        <w:t>.</w:t>
      </w:r>
    </w:p>
    <w:p w:rsidR="003B6C06" w:rsidRPr="00707245" w:rsidRDefault="0098107C" w:rsidP="0033389E">
      <w:p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Den övergripande</w:t>
      </w:r>
      <w:r w:rsidR="003B6C06">
        <w:rPr>
          <w:rFonts w:asciiTheme="minorHAnsi" w:hAnsiTheme="minorHAnsi" w:cstheme="minorHAnsi"/>
          <w:lang w:val="sv-SE"/>
        </w:rPr>
        <w:t xml:space="preserve"> målsättningen med databasen att främja harmonisering av medlemsstaternas tolkningar av EU:s direktiv och förordningar samt att uppmuntra till ett mer ingående samarbete mellan praktiserande jurister över hela EU. </w:t>
      </w:r>
    </w:p>
    <w:p w:rsidR="003B6C06" w:rsidRPr="00707245" w:rsidRDefault="003B6C06" w:rsidP="0033389E">
      <w:p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De</w:t>
      </w:r>
      <w:r w:rsidR="0098107C">
        <w:rPr>
          <w:rFonts w:asciiTheme="minorHAnsi" w:hAnsiTheme="minorHAnsi" w:cstheme="minorHAnsi"/>
          <w:lang w:val="sv-SE"/>
        </w:rPr>
        <w:t>n</w:t>
      </w:r>
      <w:r>
        <w:rPr>
          <w:rFonts w:asciiTheme="minorHAnsi" w:hAnsiTheme="minorHAnsi" w:cstheme="minorHAnsi"/>
          <w:lang w:val="sv-SE"/>
        </w:rPr>
        <w:t xml:space="preserve"> primära målgrupp</w:t>
      </w:r>
      <w:r w:rsidR="0098107C">
        <w:rPr>
          <w:rFonts w:asciiTheme="minorHAnsi" w:hAnsiTheme="minorHAnsi" w:cstheme="minorHAnsi"/>
          <w:lang w:val="sv-SE"/>
        </w:rPr>
        <w:t>en</w:t>
      </w:r>
      <w:r>
        <w:rPr>
          <w:rFonts w:asciiTheme="minorHAnsi" w:hAnsiTheme="minorHAnsi" w:cstheme="minorHAnsi"/>
          <w:lang w:val="sv-SE"/>
        </w:rPr>
        <w:t xml:space="preserve"> är beslutsfattare på alla nivåer, politiskt ansvariga, icke-statliga organisationer, rättstillämpare samt anställda i relevant stat, i relevanta europeiska och internationella organisationer och myndigheter.</w:t>
      </w:r>
    </w:p>
    <w:p w:rsidR="00E80E92" w:rsidRPr="00707245" w:rsidRDefault="00E80E92" w:rsidP="00B27B2F">
      <w:pPr>
        <w:pStyle w:val="Heading1"/>
        <w:spacing w:before="360" w:beforeAutospacing="0"/>
        <w:rPr>
          <w:lang w:val="sv-SE"/>
        </w:rPr>
      </w:pPr>
      <w:bookmarkStart w:id="2" w:name="_Toc350765032"/>
      <w:r>
        <w:rPr>
          <w:bCs/>
          <w:iCs/>
          <w:lang w:val="sv-SE"/>
        </w:rPr>
        <w:t>Inkluderade EU-direktiv och EU-förordningar</w:t>
      </w:r>
      <w:bookmarkEnd w:id="2"/>
      <w:r>
        <w:rPr>
          <w:b w:val="0"/>
          <w:i w:val="0"/>
          <w:lang w:val="sv-SE"/>
        </w:rPr>
        <w:t xml:space="preserve"> </w:t>
      </w:r>
    </w:p>
    <w:p w:rsidR="008A072E" w:rsidRPr="00A82484" w:rsidRDefault="0098107C" w:rsidP="00DC551C">
      <w:pPr>
        <w:pStyle w:val="ListParagraph"/>
        <w:numPr>
          <w:ilvl w:val="0"/>
          <w:numId w:val="30"/>
        </w:numPr>
        <w:spacing w:before="100" w:beforeAutospacing="1" w:after="80" w:line="240" w:lineRule="auto"/>
        <w:contextualSpacing w:val="0"/>
        <w:jc w:val="both"/>
        <w:rPr>
          <w:rFonts w:asciiTheme="minorHAnsi" w:hAnsiTheme="minorHAnsi" w:cstheme="minorHAnsi"/>
          <w:lang w:val="sv-SE"/>
        </w:rPr>
      </w:pPr>
      <w:r>
        <w:rPr>
          <w:rFonts w:asciiTheme="minorHAnsi" w:hAnsiTheme="minorHAnsi" w:cstheme="minorHAnsi"/>
          <w:b/>
          <w:bCs/>
          <w:lang w:val="sv-SE"/>
        </w:rPr>
        <w:t>Asylprocedurdirektivet</w:t>
      </w:r>
      <w:r w:rsidR="009B4D5D">
        <w:rPr>
          <w:rFonts w:asciiTheme="minorHAnsi" w:hAnsiTheme="minorHAnsi" w:cstheme="minorHAnsi"/>
          <w:b/>
          <w:bCs/>
          <w:lang w:val="sv-SE"/>
        </w:rPr>
        <w:t xml:space="preserve"> </w:t>
      </w:r>
      <w:r w:rsidR="00DC551C" w:rsidRPr="00DC551C">
        <w:rPr>
          <w:rFonts w:asciiTheme="minorHAnsi" w:hAnsiTheme="minorHAnsi" w:cstheme="minorHAnsi"/>
          <w:b/>
          <w:bCs/>
          <w:lang w:val="sv-SE"/>
        </w:rPr>
        <w:t>2005/85/EG och 2013/32/EU</w:t>
      </w:r>
    </w:p>
    <w:p w:rsidR="008A072E" w:rsidRPr="00A82484" w:rsidRDefault="008A072E" w:rsidP="00DC551C">
      <w:pPr>
        <w:pStyle w:val="ListParagraph"/>
        <w:numPr>
          <w:ilvl w:val="0"/>
          <w:numId w:val="30"/>
        </w:numPr>
        <w:spacing w:before="100" w:beforeAutospacing="1" w:after="80" w:line="240" w:lineRule="auto"/>
        <w:contextualSpacing w:val="0"/>
        <w:jc w:val="both"/>
        <w:rPr>
          <w:rFonts w:asciiTheme="minorHAnsi" w:hAnsiTheme="minorHAnsi" w:cstheme="minorHAnsi"/>
          <w:lang w:val="sv-SE"/>
        </w:rPr>
      </w:pPr>
      <w:r>
        <w:rPr>
          <w:rFonts w:asciiTheme="minorHAnsi" w:hAnsiTheme="minorHAnsi" w:cstheme="minorHAnsi"/>
          <w:b/>
          <w:bCs/>
          <w:lang w:val="sv-SE"/>
        </w:rPr>
        <w:t>Skydds</w:t>
      </w:r>
      <w:r w:rsidR="0098107C">
        <w:rPr>
          <w:rFonts w:asciiTheme="minorHAnsi" w:hAnsiTheme="minorHAnsi" w:cstheme="minorHAnsi"/>
          <w:b/>
          <w:bCs/>
          <w:lang w:val="sv-SE"/>
        </w:rPr>
        <w:t>grunds</w:t>
      </w:r>
      <w:r>
        <w:rPr>
          <w:rFonts w:asciiTheme="minorHAnsi" w:hAnsiTheme="minorHAnsi" w:cstheme="minorHAnsi"/>
          <w:b/>
          <w:bCs/>
          <w:lang w:val="sv-SE"/>
        </w:rPr>
        <w:t>direktivet</w:t>
      </w:r>
      <w:r w:rsidR="009B4D5D">
        <w:rPr>
          <w:rFonts w:asciiTheme="minorHAnsi" w:hAnsiTheme="minorHAnsi" w:cstheme="minorHAnsi"/>
          <w:b/>
          <w:bCs/>
          <w:lang w:val="sv-SE"/>
        </w:rPr>
        <w:t xml:space="preserve"> </w:t>
      </w:r>
      <w:r w:rsidR="00DC551C" w:rsidRPr="00DC551C">
        <w:rPr>
          <w:rFonts w:asciiTheme="minorHAnsi" w:hAnsiTheme="minorHAnsi" w:cstheme="minorHAnsi"/>
          <w:b/>
          <w:bCs/>
          <w:lang w:val="sv-SE"/>
        </w:rPr>
        <w:t>2004/83/EG och 2011/95/EU</w:t>
      </w:r>
    </w:p>
    <w:p w:rsidR="009D0ABA" w:rsidRPr="00707245" w:rsidRDefault="008A072E" w:rsidP="00DC551C">
      <w:pPr>
        <w:pStyle w:val="ListParagraph"/>
        <w:numPr>
          <w:ilvl w:val="0"/>
          <w:numId w:val="30"/>
        </w:numPr>
        <w:spacing w:before="100" w:beforeAutospacing="1" w:after="80" w:line="240" w:lineRule="auto"/>
        <w:contextualSpacing w:val="0"/>
        <w:jc w:val="both"/>
        <w:rPr>
          <w:rFonts w:asciiTheme="minorHAnsi" w:hAnsiTheme="minorHAnsi" w:cstheme="minorHAnsi"/>
          <w:lang w:val="sv-SE"/>
        </w:rPr>
      </w:pPr>
      <w:r>
        <w:rPr>
          <w:rFonts w:asciiTheme="minorHAnsi" w:hAnsiTheme="minorHAnsi" w:cstheme="minorHAnsi"/>
          <w:b/>
          <w:bCs/>
          <w:lang w:val="sv-SE"/>
        </w:rPr>
        <w:t xml:space="preserve">Direktivet om </w:t>
      </w:r>
      <w:r w:rsidR="000D491F">
        <w:rPr>
          <w:rFonts w:asciiTheme="minorHAnsi" w:hAnsiTheme="minorHAnsi" w:cstheme="minorHAnsi"/>
          <w:b/>
          <w:bCs/>
          <w:lang w:val="sv-SE"/>
        </w:rPr>
        <w:t>mottagningsvillkor</w:t>
      </w:r>
      <w:r w:rsidR="00DC551C">
        <w:rPr>
          <w:rFonts w:asciiTheme="minorHAnsi" w:hAnsiTheme="minorHAnsi" w:cstheme="minorHAnsi"/>
          <w:lang w:val="sv-SE"/>
        </w:rPr>
        <w:t xml:space="preserve"> </w:t>
      </w:r>
      <w:r w:rsidR="00DC551C" w:rsidRPr="00DC551C">
        <w:rPr>
          <w:rFonts w:asciiTheme="minorHAnsi" w:hAnsiTheme="minorHAnsi" w:cstheme="minorHAnsi"/>
          <w:lang w:val="sv-SE"/>
        </w:rPr>
        <w:t>2003/9/EG och 2013/33/EU</w:t>
      </w:r>
      <w:r w:rsidR="00DC551C">
        <w:rPr>
          <w:rFonts w:asciiTheme="minorHAnsi" w:hAnsiTheme="minorHAnsi" w:cstheme="minorHAnsi"/>
          <w:lang w:val="sv-SE"/>
        </w:rPr>
        <w:t xml:space="preserve"> </w:t>
      </w:r>
      <w:r>
        <w:rPr>
          <w:rFonts w:asciiTheme="minorHAnsi" w:hAnsiTheme="minorHAnsi" w:cstheme="minorHAnsi"/>
          <w:lang w:val="sv-SE"/>
        </w:rPr>
        <w:t>– i vissa länder innefattar detta direktiv en analys av den juridik som hanterar arbetsrätt och administrativa beslutsfattare åtskilt från asylbeslutande myndighet. Dessa beslut är relevanta endast där de tydligt faller under de kriterier som specificeras nedan.</w:t>
      </w:r>
    </w:p>
    <w:p w:rsidR="00A50891" w:rsidRPr="00707245" w:rsidRDefault="0098107C" w:rsidP="00DC551C">
      <w:pPr>
        <w:pStyle w:val="ListParagraph"/>
        <w:numPr>
          <w:ilvl w:val="0"/>
          <w:numId w:val="30"/>
        </w:numPr>
        <w:spacing w:before="100" w:beforeAutospacing="1" w:after="80" w:line="240" w:lineRule="auto"/>
        <w:contextualSpacing w:val="0"/>
        <w:jc w:val="both"/>
        <w:rPr>
          <w:rFonts w:asciiTheme="minorHAnsi" w:hAnsiTheme="minorHAnsi" w:cstheme="minorHAnsi"/>
          <w:lang w:val="sv-SE"/>
        </w:rPr>
      </w:pPr>
      <w:r>
        <w:rPr>
          <w:rFonts w:asciiTheme="minorHAnsi" w:hAnsiTheme="minorHAnsi" w:cstheme="minorHAnsi"/>
          <w:b/>
          <w:bCs/>
          <w:lang w:val="sv-SE"/>
        </w:rPr>
        <w:t>F</w:t>
      </w:r>
      <w:r w:rsidR="008A072E">
        <w:rPr>
          <w:rFonts w:asciiTheme="minorHAnsi" w:hAnsiTheme="minorHAnsi" w:cstheme="minorHAnsi"/>
          <w:b/>
          <w:bCs/>
          <w:lang w:val="sv-SE"/>
        </w:rPr>
        <w:t>amiljeåterförening</w:t>
      </w:r>
      <w:r>
        <w:rPr>
          <w:rFonts w:asciiTheme="minorHAnsi" w:hAnsiTheme="minorHAnsi" w:cstheme="minorHAnsi"/>
          <w:b/>
          <w:bCs/>
          <w:lang w:val="sv-SE"/>
        </w:rPr>
        <w:t>sdirektivet</w:t>
      </w:r>
      <w:r w:rsidR="008A072E">
        <w:rPr>
          <w:rFonts w:asciiTheme="minorHAnsi" w:hAnsiTheme="minorHAnsi" w:cstheme="minorHAnsi"/>
          <w:lang w:val="sv-SE"/>
        </w:rPr>
        <w:t xml:space="preserve"> </w:t>
      </w:r>
      <w:r w:rsidR="00DC551C" w:rsidRPr="00DC551C">
        <w:rPr>
          <w:rFonts w:asciiTheme="minorHAnsi" w:hAnsiTheme="minorHAnsi" w:cstheme="minorHAnsi"/>
          <w:lang w:val="sv-SE"/>
        </w:rPr>
        <w:t>2003/86/EG</w:t>
      </w:r>
      <w:r w:rsidR="00DC551C">
        <w:rPr>
          <w:rFonts w:asciiTheme="minorHAnsi" w:hAnsiTheme="minorHAnsi" w:cstheme="minorHAnsi"/>
          <w:lang w:val="sv-SE"/>
        </w:rPr>
        <w:t xml:space="preserve"> </w:t>
      </w:r>
      <w:r w:rsidR="00A82484">
        <w:rPr>
          <w:rFonts w:asciiTheme="minorHAnsi" w:hAnsiTheme="minorHAnsi" w:cstheme="minorHAnsi"/>
          <w:lang w:val="sv-SE"/>
        </w:rPr>
        <w:t xml:space="preserve">– </w:t>
      </w:r>
      <w:r w:rsidR="008A072E">
        <w:rPr>
          <w:rFonts w:asciiTheme="minorHAnsi" w:hAnsiTheme="minorHAnsi" w:cstheme="minorHAnsi"/>
          <w:lang w:val="sv-SE"/>
        </w:rPr>
        <w:t>detta direktiv gäller inte endast flyktingar, men tolkningen av detsamma bidrar generellt i lika hög grad när det används i flyktingärenden. Genom undantag från artikel 8 gäller det första stycket inte flyktingar, vilket inte heller det tredje stycket i artikel 4, punkt 1, gör. Ärenden som särskilt avser dessa bestämmelser är inte relevanta för flyktingärenden.</w:t>
      </w:r>
    </w:p>
    <w:p w:rsidR="00B55E04" w:rsidRPr="00707245" w:rsidRDefault="008A072E" w:rsidP="00DC551C">
      <w:pPr>
        <w:pStyle w:val="ListParagraph"/>
        <w:numPr>
          <w:ilvl w:val="0"/>
          <w:numId w:val="30"/>
        </w:numPr>
        <w:spacing w:before="100" w:beforeAutospacing="1" w:after="80" w:line="240" w:lineRule="auto"/>
        <w:contextualSpacing w:val="0"/>
        <w:jc w:val="both"/>
        <w:rPr>
          <w:rFonts w:asciiTheme="minorHAnsi" w:hAnsiTheme="minorHAnsi" w:cstheme="minorHAnsi"/>
          <w:lang w:val="sv-SE"/>
        </w:rPr>
      </w:pPr>
      <w:r>
        <w:rPr>
          <w:rFonts w:asciiTheme="minorHAnsi" w:hAnsiTheme="minorHAnsi" w:cstheme="minorHAnsi"/>
          <w:b/>
          <w:bCs/>
          <w:lang w:val="sv-SE"/>
        </w:rPr>
        <w:t>Återvändandedirektivet</w:t>
      </w:r>
      <w:r>
        <w:rPr>
          <w:rFonts w:asciiTheme="minorHAnsi" w:hAnsiTheme="minorHAnsi" w:cstheme="minorHAnsi"/>
          <w:lang w:val="sv-SE"/>
        </w:rPr>
        <w:t xml:space="preserve"> </w:t>
      </w:r>
      <w:r w:rsidR="00DC551C" w:rsidRPr="00DC551C">
        <w:rPr>
          <w:rFonts w:asciiTheme="minorHAnsi" w:hAnsiTheme="minorHAnsi" w:cstheme="minorHAnsi"/>
          <w:lang w:val="sv-SE"/>
        </w:rPr>
        <w:t>2008/115/EG</w:t>
      </w:r>
      <w:r w:rsidR="00DC551C">
        <w:rPr>
          <w:rFonts w:asciiTheme="minorHAnsi" w:hAnsiTheme="minorHAnsi" w:cstheme="minorHAnsi"/>
          <w:lang w:val="sv-SE"/>
        </w:rPr>
        <w:t xml:space="preserve"> </w:t>
      </w:r>
      <w:r>
        <w:rPr>
          <w:rFonts w:asciiTheme="minorHAnsi" w:hAnsiTheme="minorHAnsi" w:cstheme="minorHAnsi"/>
          <w:lang w:val="sv-SE"/>
        </w:rPr>
        <w:t>– detta direktiv har allmän tillämpning och har inga specifika band till processer som rör flyktingskydd och subsidiärt skydd. Ärende rörande detta direktiv kan bortses från om det, i den nationella expertens åsikt, inte har särskild betydelse och står i samband med de skyddssökandes situation.</w:t>
      </w:r>
    </w:p>
    <w:p w:rsidR="008A072E" w:rsidRPr="00707245" w:rsidRDefault="008A072E" w:rsidP="00DC551C">
      <w:pPr>
        <w:pStyle w:val="ListParagraph"/>
        <w:numPr>
          <w:ilvl w:val="0"/>
          <w:numId w:val="30"/>
        </w:numPr>
        <w:spacing w:before="100" w:beforeAutospacing="1" w:after="80" w:line="240" w:lineRule="auto"/>
        <w:contextualSpacing w:val="0"/>
        <w:jc w:val="both"/>
        <w:rPr>
          <w:rFonts w:asciiTheme="minorHAnsi" w:hAnsiTheme="minorHAnsi" w:cstheme="minorHAnsi"/>
          <w:lang w:val="sv-SE"/>
        </w:rPr>
      </w:pPr>
      <w:r>
        <w:rPr>
          <w:rFonts w:asciiTheme="minorHAnsi" w:hAnsiTheme="minorHAnsi" w:cstheme="minorHAnsi"/>
          <w:b/>
          <w:bCs/>
          <w:lang w:val="sv-SE"/>
        </w:rPr>
        <w:t>Dublin förordningen</w:t>
      </w:r>
      <w:r>
        <w:rPr>
          <w:rFonts w:asciiTheme="minorHAnsi" w:hAnsiTheme="minorHAnsi" w:cstheme="minorHAnsi"/>
          <w:lang w:val="sv-SE"/>
        </w:rPr>
        <w:t xml:space="preserve"> </w:t>
      </w:r>
      <w:r w:rsidR="00DC551C" w:rsidRPr="00DC551C">
        <w:rPr>
          <w:rFonts w:asciiTheme="minorHAnsi" w:hAnsiTheme="minorHAnsi" w:cstheme="minorHAnsi"/>
          <w:lang w:val="sv-SE"/>
        </w:rPr>
        <w:t>343/2003 och 604/2013</w:t>
      </w:r>
      <w:r w:rsidR="00DC551C">
        <w:rPr>
          <w:rFonts w:asciiTheme="minorHAnsi" w:hAnsiTheme="minorHAnsi" w:cstheme="minorHAnsi"/>
          <w:lang w:val="sv-SE"/>
        </w:rPr>
        <w:t xml:space="preserve"> </w:t>
      </w:r>
      <w:r>
        <w:rPr>
          <w:rFonts w:asciiTheme="minorHAnsi" w:hAnsiTheme="minorHAnsi" w:cstheme="minorHAnsi"/>
          <w:lang w:val="sv-SE"/>
        </w:rPr>
        <w:t xml:space="preserve">– </w:t>
      </w:r>
      <w:r w:rsidR="00A82484" w:rsidRPr="00A82484">
        <w:rPr>
          <w:rFonts w:asciiTheme="minorHAnsi" w:hAnsiTheme="minorHAnsi" w:cstheme="minorHAnsi"/>
          <w:lang w:val="sv-SE"/>
        </w:rPr>
        <w:t xml:space="preserve">Dublin </w:t>
      </w:r>
      <w:r w:rsidR="00DC551C">
        <w:rPr>
          <w:rFonts w:asciiTheme="minorHAnsi" w:hAnsiTheme="minorHAnsi" w:cstheme="minorHAnsi"/>
          <w:lang w:val="sv-SE"/>
        </w:rPr>
        <w:t>I</w:t>
      </w:r>
      <w:bookmarkStart w:id="3" w:name="_GoBack"/>
      <w:bookmarkEnd w:id="3"/>
      <w:r w:rsidR="00A82484" w:rsidRPr="00A82484">
        <w:rPr>
          <w:rFonts w:asciiTheme="minorHAnsi" w:hAnsiTheme="minorHAnsi" w:cstheme="minorHAnsi"/>
          <w:lang w:val="sv-SE"/>
        </w:rPr>
        <w:t xml:space="preserve">II-förordningen genererar stora mängder rättspraxis som utvecklas snabbt och som härrör från flera olika förvaltningsorgan. </w:t>
      </w:r>
      <w:r>
        <w:rPr>
          <w:rFonts w:asciiTheme="minorHAnsi" w:hAnsiTheme="minorHAnsi" w:cstheme="minorHAnsi"/>
          <w:lang w:val="sv-SE"/>
        </w:rPr>
        <w:t>EDAL fokuserar därför primärt på ärenden som rör implementering eller tolkning av själva förordningen</w:t>
      </w:r>
      <w:r w:rsidR="00B120B6">
        <w:rPr>
          <w:rFonts w:asciiTheme="minorHAnsi" w:hAnsiTheme="minorHAnsi" w:cstheme="minorHAnsi"/>
          <w:lang w:val="sv-SE"/>
        </w:rPr>
        <w:t xml:space="preserve">, samt ärenden som </w:t>
      </w:r>
      <w:r w:rsidR="00875055">
        <w:rPr>
          <w:rFonts w:asciiTheme="minorHAnsi" w:hAnsiTheme="minorHAnsi" w:cstheme="minorHAnsi"/>
          <w:lang w:val="sv-SE"/>
        </w:rPr>
        <w:t xml:space="preserve">tar sin utgångspunkt i eller beaktar </w:t>
      </w:r>
      <w:r>
        <w:rPr>
          <w:rFonts w:asciiTheme="minorHAnsi" w:hAnsiTheme="minorHAnsi" w:cstheme="minorHAnsi"/>
          <w:lang w:val="sv-SE"/>
        </w:rPr>
        <w:t xml:space="preserve"> betydelsefulla </w:t>
      </w:r>
      <w:r w:rsidR="00875055">
        <w:rPr>
          <w:rFonts w:asciiTheme="minorHAnsi" w:hAnsiTheme="minorHAnsi" w:cstheme="minorHAnsi"/>
          <w:lang w:val="sv-SE"/>
        </w:rPr>
        <w:t>avgöranden från</w:t>
      </w:r>
      <w:r>
        <w:rPr>
          <w:rFonts w:asciiTheme="minorHAnsi" w:hAnsiTheme="minorHAnsi" w:cstheme="minorHAnsi"/>
          <w:lang w:val="sv-SE"/>
        </w:rPr>
        <w:t xml:space="preserve"> i Europadomstolen eller Europeiska unionens domstol, som till exempel: Ärende C</w:t>
      </w:r>
      <w:r>
        <w:rPr>
          <w:rFonts w:asciiTheme="minorHAnsi" w:hAnsiTheme="minorHAnsi" w:cstheme="minorHAnsi"/>
          <w:lang w:val="sv-SE"/>
        </w:rPr>
        <w:noBreakHyphen/>
        <w:t xml:space="preserve">245/11 K v Bundesasylamt; C-493/10 N.S. v Secretary of State for the Home Department; C-411/10 M.E. and others v. Refugee Applications Commissioner; ECtHR Application No. 30696/09 M.S.S. v. Belgium and Greece. </w:t>
      </w:r>
    </w:p>
    <w:p w:rsidR="008A072E" w:rsidRPr="00707245" w:rsidRDefault="00875055" w:rsidP="0033389E">
      <w:p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lastRenderedPageBreak/>
        <w:t xml:space="preserve">Även ärenden som saknar direkt hänvisning till ovan nämnda instrument kan komma att inkluderas i EDAL </w:t>
      </w:r>
      <w:r w:rsidR="00B82E89">
        <w:rPr>
          <w:rFonts w:asciiTheme="minorHAnsi" w:hAnsiTheme="minorHAnsi" w:cstheme="minorHAnsi"/>
          <w:lang w:val="sv-SE"/>
        </w:rPr>
        <w:t>om</w:t>
      </w:r>
      <w:r>
        <w:rPr>
          <w:rFonts w:asciiTheme="minorHAnsi" w:hAnsiTheme="minorHAnsi" w:cstheme="minorHAnsi"/>
          <w:lang w:val="sv-SE"/>
        </w:rPr>
        <w:t xml:space="preserve"> instrumentet </w:t>
      </w:r>
      <w:r w:rsidR="00B82E89">
        <w:rPr>
          <w:rFonts w:asciiTheme="minorHAnsi" w:hAnsiTheme="minorHAnsi" w:cstheme="minorHAnsi"/>
          <w:lang w:val="sv-SE"/>
        </w:rPr>
        <w:t xml:space="preserve">kan anses generellt sett är tillämpligt </w:t>
      </w:r>
      <w:r>
        <w:rPr>
          <w:rFonts w:asciiTheme="minorHAnsi" w:hAnsiTheme="minorHAnsi" w:cstheme="minorHAnsi"/>
          <w:lang w:val="sv-SE"/>
        </w:rPr>
        <w:t xml:space="preserve"> </w:t>
      </w:r>
      <w:r w:rsidR="00C26944">
        <w:rPr>
          <w:rFonts w:asciiTheme="minorHAnsi" w:hAnsiTheme="minorHAnsi" w:cstheme="minorHAnsi"/>
          <w:lang w:val="sv-SE"/>
        </w:rPr>
        <w:t>Relevanta bestämmelser är märkta under termen “</w:t>
      </w:r>
      <w:r w:rsidR="00C26944">
        <w:rPr>
          <w:rStyle w:val="views-label"/>
          <w:lang w:val="sv-SE"/>
        </w:rPr>
        <w:t>Tillämpliga EU-lagbestämmelser”</w:t>
      </w:r>
      <w:r w:rsidR="00C26944">
        <w:rPr>
          <w:rFonts w:asciiTheme="minorHAnsi" w:hAnsiTheme="minorHAnsi" w:cstheme="minorHAnsi"/>
          <w:lang w:val="sv-SE"/>
        </w:rPr>
        <w:t xml:space="preserve">. </w:t>
      </w:r>
    </w:p>
    <w:p w:rsidR="007D2786" w:rsidRPr="00707245" w:rsidRDefault="00C26944" w:rsidP="0033389E">
      <w:p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 xml:space="preserve">Ärenden som rör andra lagstiftande instrument, till exempel Traffickingdirektivet, tas också med i undantagsfall när dessa är av grundläggande vikt för CEAS övervägande. </w:t>
      </w:r>
    </w:p>
    <w:p w:rsidR="002B17A9" w:rsidRPr="00707245" w:rsidRDefault="002B17A9" w:rsidP="00B27B2F">
      <w:pPr>
        <w:pStyle w:val="Heading1"/>
        <w:spacing w:before="360" w:beforeAutospacing="0"/>
        <w:rPr>
          <w:lang w:val="sv-SE"/>
        </w:rPr>
      </w:pPr>
      <w:bookmarkStart w:id="4" w:name="_Toc350765033"/>
      <w:r>
        <w:rPr>
          <w:bCs/>
          <w:iCs/>
          <w:lang w:val="sv-SE"/>
        </w:rPr>
        <w:t>Nationella experter</w:t>
      </w:r>
      <w:bookmarkEnd w:id="4"/>
      <w:r>
        <w:rPr>
          <w:b w:val="0"/>
          <w:i w:val="0"/>
          <w:lang w:val="sv-SE"/>
        </w:rPr>
        <w:t xml:space="preserve"> </w:t>
      </w:r>
    </w:p>
    <w:p w:rsidR="00156645" w:rsidRPr="00A82484" w:rsidRDefault="00FC6F09" w:rsidP="0033389E">
      <w:p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 xml:space="preserve">EDAL:s nationella experter måste ha ingående kunskaper i nationell </w:t>
      </w:r>
      <w:r w:rsidR="00B82E89">
        <w:rPr>
          <w:rFonts w:asciiTheme="minorHAnsi" w:hAnsiTheme="minorHAnsi" w:cstheme="minorHAnsi"/>
          <w:lang w:val="sv-SE"/>
        </w:rPr>
        <w:t>r</w:t>
      </w:r>
      <w:r>
        <w:rPr>
          <w:rFonts w:asciiTheme="minorHAnsi" w:hAnsiTheme="minorHAnsi" w:cstheme="minorHAnsi"/>
          <w:lang w:val="sv-SE"/>
        </w:rPr>
        <w:t xml:space="preserve"> och nationella förfaranden i respektive land, men också vara bekanta i allmänhet med de ärenden som </w:t>
      </w:r>
      <w:r w:rsidR="00B82E89">
        <w:rPr>
          <w:rFonts w:asciiTheme="minorHAnsi" w:hAnsiTheme="minorHAnsi" w:cstheme="minorHAnsi"/>
          <w:lang w:val="sv-SE"/>
        </w:rPr>
        <w:t xml:space="preserve">sedan tidigare </w:t>
      </w:r>
      <w:r>
        <w:rPr>
          <w:rFonts w:asciiTheme="minorHAnsi" w:hAnsiTheme="minorHAnsi" w:cstheme="minorHAnsi"/>
          <w:lang w:val="sv-SE"/>
        </w:rPr>
        <w:t xml:space="preserve"> finns på EDAL. Detta är nödvändigt för att:</w:t>
      </w:r>
    </w:p>
    <w:p w:rsidR="00767EFB" w:rsidRPr="0033389E" w:rsidRDefault="00767EFB" w:rsidP="0033389E">
      <w:pPr>
        <w:pStyle w:val="ListParagraph"/>
        <w:numPr>
          <w:ilvl w:val="0"/>
          <w:numId w:val="32"/>
        </w:numPr>
        <w:spacing w:before="100" w:beforeAutospacing="1" w:after="100" w:afterAutospacing="1" w:line="240" w:lineRule="auto"/>
        <w:jc w:val="both"/>
        <w:rPr>
          <w:rFonts w:asciiTheme="minorHAnsi" w:hAnsiTheme="minorHAnsi" w:cstheme="minorHAnsi"/>
        </w:rPr>
      </w:pPr>
      <w:r>
        <w:rPr>
          <w:rFonts w:asciiTheme="minorHAnsi" w:hAnsiTheme="minorHAnsi" w:cstheme="minorHAnsi"/>
          <w:lang w:val="sv-SE"/>
        </w:rPr>
        <w:t xml:space="preserve">Undvika </w:t>
      </w:r>
      <w:r w:rsidR="00B82E89">
        <w:rPr>
          <w:rFonts w:asciiTheme="minorHAnsi" w:hAnsiTheme="minorHAnsi" w:cstheme="minorHAnsi"/>
          <w:lang w:val="sv-SE"/>
        </w:rPr>
        <w:t xml:space="preserve">dubbletter </w:t>
      </w:r>
    </w:p>
    <w:p w:rsidR="00767EFB" w:rsidRPr="00707245" w:rsidRDefault="00767EFB" w:rsidP="0033389E">
      <w:pPr>
        <w:pStyle w:val="ListParagraph"/>
        <w:numPr>
          <w:ilvl w:val="0"/>
          <w:numId w:val="32"/>
        </w:num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Kunna identifiera och sammanfatta ärenden som omkullkastar, utmärker eller på annat sätt bestrider ett ärende som redan finns på EDAL</w:t>
      </w:r>
    </w:p>
    <w:p w:rsidR="00767EFB" w:rsidRPr="00707245" w:rsidRDefault="002B17A9" w:rsidP="002B17A9">
      <w:pPr>
        <w:pStyle w:val="ListParagraph"/>
        <w:numPr>
          <w:ilvl w:val="0"/>
          <w:numId w:val="32"/>
        </w:num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Kunna uppnå konsekvens och jämförelse inom och över jurisdiktioner.</w:t>
      </w:r>
    </w:p>
    <w:p w:rsidR="002B17A9" w:rsidRPr="00707245" w:rsidRDefault="002B17A9" w:rsidP="00BC141B">
      <w:pPr>
        <w:rPr>
          <w:b/>
          <w:i/>
          <w:lang w:val="sv-SE"/>
        </w:rPr>
      </w:pPr>
      <w:r>
        <w:rPr>
          <w:lang w:val="sv-SE"/>
        </w:rPr>
        <w:t xml:space="preserve">Ingående kunskap </w:t>
      </w:r>
      <w:r w:rsidR="00AE729A">
        <w:rPr>
          <w:lang w:val="sv-SE"/>
        </w:rPr>
        <w:t xml:space="preserve">om </w:t>
      </w:r>
      <w:r>
        <w:rPr>
          <w:lang w:val="sv-SE"/>
        </w:rPr>
        <w:t xml:space="preserve">EDAL-nyckelord och CEAS-instrumentens bestämmelser är också nödvändig för att korrekt kunna rubricera och märka sammanfattningar korrekt, så att jämförelse mellan jurisdiktioner på så sätt uppmuntras. </w:t>
      </w:r>
    </w:p>
    <w:p w:rsidR="002B17A9" w:rsidRPr="00707245" w:rsidRDefault="002B17A9" w:rsidP="00B27B2F">
      <w:pPr>
        <w:pStyle w:val="Heading1"/>
        <w:spacing w:before="360" w:beforeAutospacing="0"/>
        <w:rPr>
          <w:lang w:val="sv-SE"/>
        </w:rPr>
      </w:pPr>
      <w:bookmarkStart w:id="5" w:name="_Toc350765034"/>
      <w:r>
        <w:rPr>
          <w:bCs/>
          <w:iCs/>
          <w:lang w:val="sv-SE"/>
        </w:rPr>
        <w:t>Vägledande principer för val av ärende</w:t>
      </w:r>
      <w:bookmarkEnd w:id="5"/>
    </w:p>
    <w:p w:rsidR="006B2A67" w:rsidRPr="00707245" w:rsidRDefault="006B2A67" w:rsidP="0033389E">
      <w:pPr>
        <w:pStyle w:val="ListParagraph"/>
        <w:numPr>
          <w:ilvl w:val="0"/>
          <w:numId w:val="36"/>
        </w:numPr>
        <w:spacing w:before="100" w:beforeAutospacing="1" w:after="100" w:afterAutospacing="1" w:line="240" w:lineRule="auto"/>
        <w:jc w:val="both"/>
        <w:rPr>
          <w:rFonts w:asciiTheme="minorHAnsi" w:hAnsiTheme="minorHAnsi" w:cstheme="minorHAnsi"/>
          <w:lang w:val="sv-SE"/>
        </w:rPr>
      </w:pPr>
      <w:r>
        <w:rPr>
          <w:rFonts w:asciiTheme="minorHAnsi" w:eastAsiaTheme="minorHAnsi" w:hAnsiTheme="minorHAnsi" w:cstheme="minorHAnsi"/>
          <w:b/>
          <w:bCs/>
          <w:color w:val="000000"/>
          <w:lang w:val="sv-SE"/>
        </w:rPr>
        <w:t xml:space="preserve">De ärenden som väljs måste ha en betydande juridisk påverkan, dvs. </w:t>
      </w:r>
      <w:r>
        <w:rPr>
          <w:rFonts w:asciiTheme="minorHAnsi" w:hAnsiTheme="minorHAnsi" w:cstheme="minorHAnsi"/>
          <w:lang w:val="sv-SE"/>
        </w:rPr>
        <w:t xml:space="preserve">där en betydande rättsfråga diskuteras och beslutsfattarens slutledning är uppenbar och lärorik. Detta kan till exempel omfatta ärenden som har bidragit till förändringar av politik på nationell nivå. Det är viktigt att säkerställa att ärenden väljs på denna grundval, vare sig de anses vara för eller emot sökanden, så att databasen fortsatt visar en korrekt och balanserad bild av juridiken på nationell nivå. </w:t>
      </w:r>
    </w:p>
    <w:p w:rsidR="00EE37DA" w:rsidRPr="00707245" w:rsidRDefault="00EE37DA" w:rsidP="0033389E">
      <w:pPr>
        <w:pStyle w:val="ListParagraph"/>
        <w:spacing w:before="100" w:beforeAutospacing="1" w:after="100" w:afterAutospacing="1" w:line="240" w:lineRule="auto"/>
        <w:jc w:val="both"/>
        <w:rPr>
          <w:rFonts w:asciiTheme="minorHAnsi" w:hAnsiTheme="minorHAnsi" w:cstheme="minorHAnsi"/>
          <w:lang w:val="sv-SE"/>
        </w:rPr>
      </w:pPr>
    </w:p>
    <w:p w:rsidR="00C23B4A" w:rsidRPr="0033389E" w:rsidRDefault="00C23B4A" w:rsidP="0033389E">
      <w:pPr>
        <w:pStyle w:val="ListParagraph"/>
        <w:numPr>
          <w:ilvl w:val="0"/>
          <w:numId w:val="36"/>
        </w:numPr>
        <w:autoSpaceDE w:val="0"/>
        <w:autoSpaceDN w:val="0"/>
        <w:adjustRightInd w:val="0"/>
        <w:spacing w:before="100" w:beforeAutospacing="1" w:after="100" w:afterAutospacing="1" w:line="240" w:lineRule="auto"/>
        <w:jc w:val="both"/>
        <w:rPr>
          <w:rFonts w:asciiTheme="minorHAnsi" w:eastAsiaTheme="minorHAnsi" w:hAnsiTheme="minorHAnsi" w:cstheme="minorHAnsi"/>
          <w:b/>
          <w:color w:val="000000"/>
        </w:rPr>
      </w:pPr>
      <w:r>
        <w:rPr>
          <w:rFonts w:asciiTheme="minorHAnsi" w:eastAsiaTheme="minorHAnsi" w:hAnsiTheme="minorHAnsi" w:cstheme="minorHAnsi"/>
          <w:b/>
          <w:bCs/>
          <w:color w:val="000000"/>
          <w:lang w:val="sv-SE"/>
        </w:rPr>
        <w:t>Ärenden som väljs kan:</w:t>
      </w:r>
    </w:p>
    <w:p w:rsidR="00C23B4A" w:rsidRPr="00707245" w:rsidRDefault="00C23B4A" w:rsidP="0033389E">
      <w:pPr>
        <w:numPr>
          <w:ilvl w:val="0"/>
          <w:numId w:val="1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eastAsiaTheme="minorHAnsi" w:hAnsiTheme="minorHAnsi" w:cstheme="minorHAnsi"/>
          <w:color w:val="000000"/>
          <w:lang w:val="sv-SE"/>
        </w:rPr>
        <w:t>Indikera utveckling eller tillbakagång i den nationella tolkningen av en EU-bestämmelse</w:t>
      </w:r>
      <w:r w:rsidR="00682C01">
        <w:rPr>
          <w:rFonts w:asciiTheme="minorHAnsi" w:eastAsiaTheme="minorHAnsi" w:hAnsiTheme="minorHAnsi" w:cstheme="minorHAnsi"/>
          <w:color w:val="000000"/>
          <w:lang w:val="sv-SE"/>
        </w:rPr>
        <w:t>.</w:t>
      </w:r>
    </w:p>
    <w:p w:rsidR="00C23B4A" w:rsidRPr="00707245" w:rsidRDefault="00C23B4A" w:rsidP="0033389E">
      <w:pPr>
        <w:numPr>
          <w:ilvl w:val="0"/>
          <w:numId w:val="1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eastAsiaTheme="minorHAnsi" w:hAnsiTheme="minorHAnsi" w:cstheme="minorHAnsi"/>
          <w:color w:val="000000"/>
          <w:lang w:val="sv-SE"/>
        </w:rPr>
        <w:t>Ånyo bekräfta den inhemska tolkningen av en EU-bestämmelse</w:t>
      </w:r>
      <w:r w:rsidR="00682C01">
        <w:rPr>
          <w:rFonts w:asciiTheme="minorHAnsi" w:eastAsiaTheme="minorHAnsi" w:hAnsiTheme="minorHAnsi" w:cstheme="minorHAnsi"/>
          <w:color w:val="000000"/>
          <w:lang w:val="sv-SE"/>
        </w:rPr>
        <w:t>.</w:t>
      </w:r>
    </w:p>
    <w:p w:rsidR="00C23B4A" w:rsidRPr="00707245" w:rsidRDefault="00C23B4A" w:rsidP="0033389E">
      <w:pPr>
        <w:numPr>
          <w:ilvl w:val="0"/>
          <w:numId w:val="1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eastAsiaTheme="minorHAnsi" w:hAnsiTheme="minorHAnsi" w:cstheme="minorHAnsi"/>
          <w:color w:val="000000"/>
          <w:lang w:val="sv-SE"/>
        </w:rPr>
        <w:t>Inrikta sig på tillämpningen eller tolkningen av en kontroversiell eller sällan undersökt EU-bestämmelse</w:t>
      </w:r>
      <w:r w:rsidR="00682C01">
        <w:rPr>
          <w:rFonts w:asciiTheme="minorHAnsi" w:eastAsiaTheme="minorHAnsi" w:hAnsiTheme="minorHAnsi" w:cstheme="minorHAnsi"/>
          <w:color w:val="000000"/>
          <w:lang w:val="sv-SE"/>
        </w:rPr>
        <w:t>.</w:t>
      </w:r>
    </w:p>
    <w:p w:rsidR="00C23B4A" w:rsidRPr="00707245" w:rsidRDefault="00C23B4A" w:rsidP="0033389E">
      <w:pPr>
        <w:numPr>
          <w:ilvl w:val="0"/>
          <w:numId w:val="1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eastAsiaTheme="minorHAnsi" w:hAnsiTheme="minorHAnsi" w:cstheme="minorHAnsi"/>
          <w:color w:val="000000"/>
          <w:lang w:val="sv-SE"/>
        </w:rPr>
        <w:t>Eventuellt fungera som ett bra eller dåligt exempel för andra stater</w:t>
      </w:r>
      <w:r w:rsidR="00682C01">
        <w:rPr>
          <w:rFonts w:asciiTheme="minorHAnsi" w:eastAsiaTheme="minorHAnsi" w:hAnsiTheme="minorHAnsi" w:cstheme="minorHAnsi"/>
          <w:color w:val="000000"/>
          <w:lang w:val="sv-SE"/>
        </w:rPr>
        <w:t>.</w:t>
      </w:r>
      <w:r>
        <w:rPr>
          <w:rFonts w:asciiTheme="minorHAnsi" w:eastAsiaTheme="minorHAnsi" w:hAnsiTheme="minorHAnsi" w:cstheme="minorHAnsi"/>
          <w:color w:val="000000"/>
          <w:lang w:val="sv-SE"/>
        </w:rPr>
        <w:t xml:space="preserve"> </w:t>
      </w:r>
    </w:p>
    <w:p w:rsidR="00E80E92" w:rsidRPr="00707245" w:rsidRDefault="00C23B4A" w:rsidP="0033389E">
      <w:pPr>
        <w:numPr>
          <w:ilvl w:val="0"/>
          <w:numId w:val="1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eastAsiaTheme="minorHAnsi" w:hAnsiTheme="minorHAnsi" w:cstheme="minorHAnsi"/>
          <w:color w:val="000000"/>
          <w:lang w:val="sv-SE"/>
        </w:rPr>
        <w:t>Bli beslutade baserat på bestämmelser i nationell lag som avviker från EU-normen</w:t>
      </w:r>
      <w:r w:rsidR="00682C01">
        <w:rPr>
          <w:rFonts w:asciiTheme="minorHAnsi" w:eastAsiaTheme="minorHAnsi" w:hAnsiTheme="minorHAnsi" w:cstheme="minorHAnsi"/>
          <w:color w:val="000000"/>
          <w:lang w:val="sv-SE"/>
        </w:rPr>
        <w:t>.</w:t>
      </w:r>
      <w:r>
        <w:rPr>
          <w:rFonts w:asciiTheme="minorHAnsi" w:eastAsiaTheme="minorHAnsi" w:hAnsiTheme="minorHAnsi" w:cstheme="minorHAnsi"/>
          <w:color w:val="000000"/>
          <w:lang w:val="sv-SE"/>
        </w:rPr>
        <w:t xml:space="preserve"> </w:t>
      </w:r>
    </w:p>
    <w:p w:rsidR="006B2A67" w:rsidRPr="00707245" w:rsidRDefault="00313126" w:rsidP="0033389E">
      <w:pPr>
        <w:numPr>
          <w:ilvl w:val="0"/>
          <w:numId w:val="1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b/>
          <w:color w:val="000000"/>
          <w:lang w:val="sv-SE"/>
        </w:rPr>
      </w:pPr>
      <w:r>
        <w:rPr>
          <w:rFonts w:asciiTheme="minorHAnsi" w:eastAsiaTheme="minorHAnsi" w:hAnsiTheme="minorHAnsi" w:cstheme="minorHAnsi"/>
          <w:color w:val="000000"/>
          <w:lang w:val="sv-SE"/>
        </w:rPr>
        <w:t>Vara tydligt påverkade av eller hänvisa till beslut från andra EU-jurisdiktioner</w:t>
      </w:r>
      <w:r w:rsidR="00682C01">
        <w:rPr>
          <w:rFonts w:asciiTheme="minorHAnsi" w:eastAsiaTheme="minorHAnsi" w:hAnsiTheme="minorHAnsi" w:cstheme="minorHAnsi"/>
          <w:color w:val="000000"/>
          <w:lang w:val="sv-SE"/>
        </w:rPr>
        <w:t>.</w:t>
      </w:r>
      <w:r>
        <w:rPr>
          <w:rFonts w:asciiTheme="minorHAnsi" w:eastAsiaTheme="minorHAnsi" w:hAnsiTheme="minorHAnsi" w:cstheme="minorHAnsi"/>
          <w:color w:val="000000"/>
          <w:lang w:val="sv-SE"/>
        </w:rPr>
        <w:t xml:space="preserve"> </w:t>
      </w:r>
    </w:p>
    <w:p w:rsidR="00EE37DA" w:rsidRPr="00707245" w:rsidRDefault="006B2A67" w:rsidP="0033389E">
      <w:pPr>
        <w:numPr>
          <w:ilvl w:val="0"/>
          <w:numId w:val="1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eastAsiaTheme="minorHAnsi" w:hAnsiTheme="minorHAnsi" w:cstheme="minorHAnsi"/>
          <w:color w:val="000000"/>
          <w:lang w:val="sv-SE"/>
        </w:rPr>
        <w:t>Granska EU</w:t>
      </w:r>
      <w:r>
        <w:rPr>
          <w:rFonts w:asciiTheme="minorHAnsi" w:eastAsiaTheme="minorHAnsi" w:hAnsiTheme="minorHAnsi" w:cstheme="minorHAnsi"/>
          <w:i/>
          <w:iCs/>
          <w:color w:val="000000"/>
          <w:lang w:val="sv-SE"/>
        </w:rPr>
        <w:t xml:space="preserve">-regelverkets </w:t>
      </w:r>
      <w:r>
        <w:rPr>
          <w:rFonts w:asciiTheme="minorHAnsi" w:eastAsiaTheme="minorHAnsi" w:hAnsiTheme="minorHAnsi" w:cstheme="minorHAnsi"/>
          <w:color w:val="000000"/>
          <w:lang w:val="sv-SE"/>
        </w:rPr>
        <w:t>utsträckning eller implementeringsmetod för faktorer till inhemsk lagstiftning.</w:t>
      </w:r>
    </w:p>
    <w:p w:rsidR="00680EF0" w:rsidRDefault="00EE37DA" w:rsidP="0033389E">
      <w:pPr>
        <w:pStyle w:val="ListParagraph"/>
        <w:numPr>
          <w:ilvl w:val="0"/>
          <w:numId w:val="36"/>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b/>
          <w:color w:val="000000"/>
        </w:rPr>
      </w:pPr>
      <w:r>
        <w:rPr>
          <w:rFonts w:asciiTheme="minorHAnsi" w:eastAsiaTheme="minorHAnsi" w:hAnsiTheme="minorHAnsi" w:cstheme="minorHAnsi"/>
          <w:b/>
          <w:bCs/>
          <w:color w:val="000000"/>
          <w:lang w:val="sv-SE"/>
        </w:rPr>
        <w:t>Ärenden ska återspegla Europadomstolens och Europeiska unionens domstols beslut, i förekommande fall.</w:t>
      </w:r>
      <w:r>
        <w:rPr>
          <w:rFonts w:asciiTheme="minorHAnsi" w:eastAsiaTheme="minorHAnsi" w:hAnsiTheme="minorHAnsi" w:cstheme="minorHAnsi"/>
          <w:color w:val="000000"/>
          <w:lang w:val="sv-SE"/>
        </w:rPr>
        <w:t xml:space="preserve"> </w:t>
      </w:r>
      <w:r>
        <w:rPr>
          <w:rFonts w:asciiTheme="minorHAnsi" w:eastAsiaTheme="minorHAnsi" w:hAnsiTheme="minorHAnsi" w:cstheme="minorHAnsi"/>
          <w:b/>
          <w:bCs/>
          <w:color w:val="000000"/>
          <w:lang w:val="sv-SE"/>
        </w:rPr>
        <w:t>De kan:</w:t>
      </w:r>
    </w:p>
    <w:p w:rsidR="0033389E" w:rsidRPr="0033389E" w:rsidRDefault="0033389E" w:rsidP="0033389E">
      <w:pPr>
        <w:pStyle w:val="ListParagraph"/>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b/>
          <w:color w:val="000000"/>
        </w:rPr>
      </w:pPr>
    </w:p>
    <w:p w:rsidR="00680EF0" w:rsidRPr="00707245" w:rsidRDefault="00124780" w:rsidP="0033389E">
      <w:pPr>
        <w:pStyle w:val="ListParagraph"/>
        <w:numPr>
          <w:ilvl w:val="0"/>
          <w:numId w:val="3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eastAsiaTheme="minorHAnsi" w:hAnsiTheme="minorHAnsi" w:cstheme="minorHAnsi"/>
          <w:color w:val="000000"/>
          <w:lang w:val="sv-SE"/>
        </w:rPr>
        <w:t>Baseras på eller implementera ett specifikt europeiskt beslut</w:t>
      </w:r>
      <w:r w:rsidR="00682C01">
        <w:rPr>
          <w:rFonts w:asciiTheme="minorHAnsi" w:eastAsiaTheme="minorHAnsi" w:hAnsiTheme="minorHAnsi" w:cstheme="minorHAnsi"/>
          <w:color w:val="000000"/>
          <w:lang w:val="sv-SE"/>
        </w:rPr>
        <w:t>.</w:t>
      </w:r>
    </w:p>
    <w:p w:rsidR="00680EF0" w:rsidRPr="00707245" w:rsidRDefault="00124780" w:rsidP="0033389E">
      <w:pPr>
        <w:pStyle w:val="ListParagraph"/>
        <w:numPr>
          <w:ilvl w:val="0"/>
          <w:numId w:val="3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eastAsiaTheme="minorHAnsi" w:hAnsiTheme="minorHAnsi" w:cstheme="minorHAnsi"/>
          <w:color w:val="000000"/>
          <w:lang w:val="sv-SE"/>
        </w:rPr>
        <w:t>Indikera divergens från ett specifikt europeiskt beslut</w:t>
      </w:r>
      <w:r w:rsidR="00682C01">
        <w:rPr>
          <w:rFonts w:asciiTheme="minorHAnsi" w:eastAsiaTheme="minorHAnsi" w:hAnsiTheme="minorHAnsi" w:cstheme="minorHAnsi"/>
          <w:color w:val="000000"/>
          <w:lang w:val="sv-SE"/>
        </w:rPr>
        <w:t>.</w:t>
      </w:r>
    </w:p>
    <w:p w:rsidR="00680EF0" w:rsidRPr="00707245" w:rsidRDefault="00124780" w:rsidP="0033389E">
      <w:pPr>
        <w:pStyle w:val="ListParagraph"/>
        <w:numPr>
          <w:ilvl w:val="0"/>
          <w:numId w:val="3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eastAsiaTheme="minorHAnsi" w:hAnsiTheme="minorHAnsi" w:cstheme="minorHAnsi"/>
          <w:color w:val="000000"/>
          <w:lang w:val="sv-SE"/>
        </w:rPr>
        <w:lastRenderedPageBreak/>
        <w:t>Vara sannolika att ge upphov till Europadomstolens eller Europeiska unionens domstols tillämpning/referens från nationell nivå</w:t>
      </w:r>
      <w:r w:rsidR="00682C01">
        <w:rPr>
          <w:rFonts w:asciiTheme="minorHAnsi" w:eastAsiaTheme="minorHAnsi" w:hAnsiTheme="minorHAnsi" w:cstheme="minorHAnsi"/>
          <w:color w:val="000000"/>
          <w:lang w:val="sv-SE"/>
        </w:rPr>
        <w:t>.</w:t>
      </w:r>
    </w:p>
    <w:p w:rsidR="00680EF0" w:rsidRPr="00707245" w:rsidRDefault="00124780" w:rsidP="0033389E">
      <w:pPr>
        <w:pStyle w:val="ListParagraph"/>
        <w:numPr>
          <w:ilvl w:val="0"/>
          <w:numId w:val="31"/>
        </w:numPr>
        <w:suppressAutoHyphens/>
        <w:autoSpaceDE w:val="0"/>
        <w:autoSpaceDN w:val="0"/>
        <w:adjustRightInd w:val="0"/>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Granska hur Europadomstolens och Europeiska unionens domstols rättspraxis tolkas av nationella domstolar, och/eller</w:t>
      </w:r>
    </w:p>
    <w:p w:rsidR="00E80E92" w:rsidRPr="00707245" w:rsidRDefault="00124780" w:rsidP="0033389E">
      <w:pPr>
        <w:pStyle w:val="ListParagraph"/>
        <w:numPr>
          <w:ilvl w:val="0"/>
          <w:numId w:val="31"/>
        </w:numPr>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r>
        <w:rPr>
          <w:rFonts w:asciiTheme="minorHAnsi" w:hAnsiTheme="minorHAnsi" w:cstheme="minorHAnsi"/>
          <w:lang w:val="sv-SE"/>
        </w:rPr>
        <w:t>Följa upp Europadomstolens och Europeiska unionens domstols domar.</w:t>
      </w:r>
    </w:p>
    <w:p w:rsidR="00EE37DA" w:rsidRPr="00707245" w:rsidRDefault="00EE37DA" w:rsidP="0033389E">
      <w:pPr>
        <w:pStyle w:val="ListParagraph"/>
        <w:suppressAutoHyphens/>
        <w:autoSpaceDE w:val="0"/>
        <w:autoSpaceDN w:val="0"/>
        <w:adjustRightInd w:val="0"/>
        <w:spacing w:before="100" w:beforeAutospacing="1" w:after="100" w:afterAutospacing="1" w:line="240" w:lineRule="auto"/>
        <w:jc w:val="both"/>
        <w:rPr>
          <w:rFonts w:asciiTheme="minorHAnsi" w:eastAsiaTheme="minorHAnsi" w:hAnsiTheme="minorHAnsi" w:cstheme="minorHAnsi"/>
          <w:color w:val="000000"/>
          <w:lang w:val="sv-SE"/>
        </w:rPr>
      </w:pPr>
    </w:p>
    <w:p w:rsidR="006B2A67" w:rsidRPr="00707245" w:rsidRDefault="008F7C10" w:rsidP="0033389E">
      <w:pPr>
        <w:pStyle w:val="ListParagraph"/>
        <w:numPr>
          <w:ilvl w:val="0"/>
          <w:numId w:val="36"/>
        </w:numPr>
        <w:suppressAutoHyphens/>
        <w:autoSpaceDE w:val="0"/>
        <w:autoSpaceDN w:val="0"/>
        <w:adjustRightInd w:val="0"/>
        <w:spacing w:before="100" w:beforeAutospacing="1" w:after="100" w:afterAutospacing="1" w:line="240" w:lineRule="auto"/>
        <w:jc w:val="both"/>
        <w:rPr>
          <w:rFonts w:asciiTheme="minorHAnsi" w:hAnsiTheme="minorHAnsi" w:cstheme="minorHAnsi"/>
          <w:i/>
          <w:lang w:val="sv-SE"/>
        </w:rPr>
      </w:pPr>
      <w:r>
        <w:rPr>
          <w:rFonts w:asciiTheme="minorHAnsi" w:eastAsiaTheme="minorHAnsi" w:hAnsiTheme="minorHAnsi" w:cstheme="minorHAnsi"/>
          <w:b/>
          <w:bCs/>
          <w:color w:val="000000"/>
          <w:lang w:val="sv-SE"/>
        </w:rPr>
        <w:t xml:space="preserve">Ärenden kan </w:t>
      </w:r>
      <w:r>
        <w:rPr>
          <w:rFonts w:asciiTheme="minorHAnsi" w:hAnsiTheme="minorHAnsi" w:cstheme="minorHAnsi"/>
          <w:b/>
          <w:bCs/>
          <w:lang w:val="sv-SE"/>
        </w:rPr>
        <w:t>accentuera</w:t>
      </w:r>
      <w:r>
        <w:rPr>
          <w:rFonts w:asciiTheme="minorHAnsi" w:hAnsiTheme="minorHAnsi" w:cstheme="minorHAnsi"/>
          <w:lang w:val="sv-SE"/>
        </w:rPr>
        <w:t xml:space="preserve"> </w:t>
      </w:r>
      <w:r>
        <w:rPr>
          <w:rFonts w:asciiTheme="minorHAnsi" w:hAnsiTheme="minorHAnsi" w:cstheme="minorHAnsi"/>
          <w:b/>
          <w:bCs/>
          <w:lang w:val="sv-SE"/>
        </w:rPr>
        <w:t>skyddsluckor</w:t>
      </w:r>
      <w:r>
        <w:rPr>
          <w:rFonts w:asciiTheme="minorHAnsi" w:hAnsiTheme="minorHAnsi" w:cstheme="minorHAnsi"/>
          <w:lang w:val="sv-SE"/>
        </w:rPr>
        <w:t xml:space="preserve"> i medlemsländer eller påvisa förekomster där medlemsstater har upprätthållit striktare normer än vad som krävs i EU-lag. Det är också viktigt att komma ihåg andra källor för asyllag och flyktinglag i medlemsländer. Till exempel har alla medlemsstater undertecknat 1951 års Genèvekonvention angående flyktingars rättsliga ställning, medan många har ratificerat FN-fördrag som FN-konventionen mot tortyr.</w:t>
      </w:r>
      <w:r>
        <w:rPr>
          <w:rFonts w:cstheme="minorHAnsi"/>
          <w:lang w:val="sv-SE"/>
        </w:rPr>
        <w:t xml:space="preserve"> Viktiga ärenden gällande tillämpning av UNHCR:s riktlinjer ska också representeras.</w:t>
      </w:r>
    </w:p>
    <w:p w:rsidR="00EE37DA" w:rsidRPr="00707245" w:rsidRDefault="00EE37DA" w:rsidP="0033389E">
      <w:pPr>
        <w:pStyle w:val="ListParagraph"/>
        <w:suppressAutoHyphens/>
        <w:autoSpaceDE w:val="0"/>
        <w:autoSpaceDN w:val="0"/>
        <w:adjustRightInd w:val="0"/>
        <w:spacing w:before="100" w:beforeAutospacing="1" w:after="100" w:afterAutospacing="1" w:line="240" w:lineRule="auto"/>
        <w:jc w:val="both"/>
        <w:rPr>
          <w:rFonts w:asciiTheme="minorHAnsi" w:hAnsiTheme="minorHAnsi" w:cstheme="minorHAnsi"/>
          <w:i/>
          <w:lang w:val="sv-SE"/>
        </w:rPr>
      </w:pPr>
    </w:p>
    <w:p w:rsidR="00C23B4A" w:rsidRPr="0033389E" w:rsidRDefault="00C23B4A" w:rsidP="0033389E">
      <w:pPr>
        <w:pStyle w:val="ListParagraph"/>
        <w:numPr>
          <w:ilvl w:val="0"/>
          <w:numId w:val="36"/>
        </w:numPr>
        <w:autoSpaceDE w:val="0"/>
        <w:autoSpaceDN w:val="0"/>
        <w:adjustRightInd w:val="0"/>
        <w:spacing w:before="100" w:beforeAutospacing="1" w:after="100" w:afterAutospacing="1" w:line="240" w:lineRule="auto"/>
        <w:jc w:val="both"/>
        <w:rPr>
          <w:rFonts w:asciiTheme="minorHAnsi" w:eastAsiaTheme="minorHAnsi" w:hAnsiTheme="minorHAnsi" w:cstheme="minorHAnsi"/>
          <w:b/>
          <w:color w:val="000000"/>
        </w:rPr>
      </w:pPr>
      <w:r>
        <w:rPr>
          <w:rFonts w:asciiTheme="minorHAnsi" w:eastAsiaTheme="minorHAnsi" w:hAnsiTheme="minorHAnsi" w:cstheme="minorHAnsi"/>
          <w:b/>
          <w:bCs/>
          <w:color w:val="000000"/>
          <w:lang w:val="sv-SE"/>
        </w:rPr>
        <w:t>Ärenden ska INTE:</w:t>
      </w:r>
    </w:p>
    <w:p w:rsidR="00AD630B" w:rsidRPr="00707245" w:rsidRDefault="007B7CA9" w:rsidP="00472F74">
      <w:pPr>
        <w:numPr>
          <w:ilvl w:val="0"/>
          <w:numId w:val="35"/>
        </w:numPr>
        <w:suppressAutoHyphens/>
        <w:autoSpaceDE w:val="0"/>
        <w:autoSpaceDN w:val="0"/>
        <w:adjustRightInd w:val="0"/>
        <w:spacing w:before="100" w:beforeAutospacing="1" w:after="120" w:line="240" w:lineRule="auto"/>
        <w:ind w:left="1077" w:hanging="357"/>
        <w:jc w:val="both"/>
        <w:rPr>
          <w:rFonts w:asciiTheme="minorHAnsi" w:hAnsiTheme="minorHAnsi" w:cstheme="minorHAnsi"/>
          <w:lang w:val="sv-SE"/>
        </w:rPr>
      </w:pPr>
      <w:r>
        <w:rPr>
          <w:rFonts w:asciiTheme="minorHAnsi" w:eastAsiaTheme="minorHAnsi" w:hAnsiTheme="minorHAnsi" w:cstheme="minorHAnsi"/>
          <w:b/>
          <w:bCs/>
          <w:color w:val="000000"/>
          <w:lang w:val="sv-SE"/>
        </w:rPr>
        <w:t>Begränsas till beslut i högre rättsinstanser.</w:t>
      </w:r>
      <w:r>
        <w:rPr>
          <w:rFonts w:asciiTheme="minorHAnsi" w:hAnsiTheme="minorHAnsi" w:cstheme="minorHAnsi"/>
          <w:lang w:val="sv-SE"/>
        </w:rPr>
        <w:t xml:space="preserve"> Förutsatt att beslutets juridiska påverkan kan antas vara betydande och bidra till paneuropeisk förståelse för EU:s asyl</w:t>
      </w:r>
      <w:r>
        <w:rPr>
          <w:rFonts w:asciiTheme="minorHAnsi" w:hAnsiTheme="minorHAnsi" w:cstheme="minorHAnsi"/>
          <w:i/>
          <w:iCs/>
          <w:lang w:val="sv-SE"/>
        </w:rPr>
        <w:t>regelverk</w:t>
      </w:r>
      <w:r>
        <w:rPr>
          <w:rFonts w:asciiTheme="minorHAnsi" w:hAnsiTheme="minorHAnsi" w:cstheme="minorHAnsi"/>
          <w:lang w:val="sv-SE"/>
        </w:rPr>
        <w:t xml:space="preserve">, kan ärenden från domstolar eller semijuridiska organ prövas tillsammans med dem från högre rättsinstanser. Hursomhelst, eftersom databasen innehåller rättspraxis omfattar den inte förvaltningsorgans förstainstansbeslut. Ärenden från lägre instanser eller domstolar som innehåller en intressant rättsfråga och därefter omkullkastas av högre instans kan inkluderas om det tydligt anges att beslutet omkullkastades. </w:t>
      </w:r>
    </w:p>
    <w:p w:rsidR="00830661" w:rsidRPr="00707245" w:rsidRDefault="007B7CA9" w:rsidP="00472F74">
      <w:pPr>
        <w:pStyle w:val="ListParagraph"/>
        <w:numPr>
          <w:ilvl w:val="0"/>
          <w:numId w:val="35"/>
        </w:numPr>
        <w:spacing w:before="100" w:beforeAutospacing="1" w:after="120" w:line="240" w:lineRule="auto"/>
        <w:ind w:left="1077" w:hanging="357"/>
        <w:contextualSpacing w:val="0"/>
        <w:jc w:val="both"/>
        <w:rPr>
          <w:rFonts w:asciiTheme="minorHAnsi" w:hAnsiTheme="minorHAnsi" w:cstheme="minorHAnsi"/>
          <w:b/>
          <w:i/>
          <w:lang w:val="sv-SE"/>
        </w:rPr>
      </w:pPr>
      <w:r>
        <w:rPr>
          <w:rFonts w:asciiTheme="minorHAnsi" w:eastAsiaTheme="minorHAnsi" w:hAnsiTheme="minorHAnsi" w:cstheme="minorHAnsi"/>
          <w:b/>
          <w:bCs/>
          <w:color w:val="000000"/>
          <w:lang w:val="sv-SE"/>
        </w:rPr>
        <w:t>Beröra endast landsspecifik information om ursprungsländer.</w:t>
      </w:r>
      <w:r>
        <w:rPr>
          <w:rFonts w:asciiTheme="minorHAnsi" w:hAnsiTheme="minorHAnsi" w:cstheme="minorHAnsi"/>
          <w:lang w:val="sv-SE"/>
        </w:rPr>
        <w:t xml:space="preserve">Rättspraxis som inriktar sig på </w:t>
      </w:r>
      <w:r>
        <w:rPr>
          <w:rFonts w:asciiTheme="minorHAnsi" w:hAnsiTheme="minorHAnsi" w:cstheme="minorHAnsi"/>
          <w:i/>
          <w:iCs/>
          <w:lang w:val="sv-SE"/>
        </w:rPr>
        <w:t>hur</w:t>
      </w:r>
      <w:r>
        <w:rPr>
          <w:rFonts w:asciiTheme="minorHAnsi" w:hAnsiTheme="minorHAnsi" w:cstheme="minorHAnsi"/>
          <w:lang w:val="sv-SE"/>
        </w:rPr>
        <w:t xml:space="preserve"> beslutsfattare tar itu med eller bedömer information om ursprungsländer kan tas med, till exempel när beslutsfattare ställer upp tydliga principer som ska tillämpas vid utvärdering av ursprungsländer. Databasen är en förvaringsplats för ärenden som behandlar rättsfrågor snarare än fakta. </w:t>
      </w:r>
    </w:p>
    <w:p w:rsidR="00830661" w:rsidRPr="00707245" w:rsidRDefault="007B7CA9" w:rsidP="00472F74">
      <w:pPr>
        <w:numPr>
          <w:ilvl w:val="0"/>
          <w:numId w:val="35"/>
        </w:numPr>
        <w:suppressAutoHyphens/>
        <w:autoSpaceDE w:val="0"/>
        <w:autoSpaceDN w:val="0"/>
        <w:adjustRightInd w:val="0"/>
        <w:spacing w:before="100" w:beforeAutospacing="1" w:after="120" w:line="240" w:lineRule="auto"/>
        <w:ind w:left="1077" w:hanging="357"/>
        <w:jc w:val="both"/>
        <w:rPr>
          <w:rFonts w:asciiTheme="minorHAnsi" w:eastAsiaTheme="minorHAnsi" w:hAnsiTheme="minorHAnsi" w:cstheme="minorHAnsi"/>
          <w:b/>
          <w:i/>
          <w:color w:val="000000"/>
          <w:lang w:val="sv-SE"/>
        </w:rPr>
      </w:pPr>
      <w:r>
        <w:rPr>
          <w:rFonts w:asciiTheme="minorHAnsi" w:eastAsiaTheme="minorHAnsi" w:hAnsiTheme="minorHAnsi" w:cstheme="minorHAnsi"/>
          <w:b/>
          <w:bCs/>
          <w:color w:val="000000"/>
          <w:lang w:val="sv-SE"/>
        </w:rPr>
        <w:t>Beröra endast ärendespecifik bedömning av trovärdighet.</w:t>
      </w:r>
      <w:r>
        <w:rPr>
          <w:rFonts w:asciiTheme="minorHAnsi" w:eastAsiaTheme="minorHAnsi" w:hAnsiTheme="minorHAnsi" w:cstheme="minorHAnsi"/>
          <w:color w:val="000000"/>
          <w:lang w:val="sv-SE"/>
        </w:rPr>
        <w:t xml:space="preserve"> Ärenden i vilka en betydande del av beslutet ägnas till bedömning av trovärdighet är generellt inte av värde och återger normalt inte bestämmelserna i EU-lag. Hursomhelst, ärenden som närmare utvecklar principer om bevisbördan och bevisnivån samt fördelar med tvekan, eller som lägger fram den text som ska infrias av de sökande, är av intresse och kan inkluderas. </w:t>
      </w:r>
    </w:p>
    <w:p w:rsidR="000B08BF" w:rsidRPr="00707245" w:rsidRDefault="007B7CA9" w:rsidP="00472F74">
      <w:pPr>
        <w:numPr>
          <w:ilvl w:val="0"/>
          <w:numId w:val="35"/>
        </w:numPr>
        <w:suppressAutoHyphens/>
        <w:autoSpaceDE w:val="0"/>
        <w:autoSpaceDN w:val="0"/>
        <w:adjustRightInd w:val="0"/>
        <w:spacing w:before="100" w:beforeAutospacing="1" w:after="120" w:line="240" w:lineRule="auto"/>
        <w:ind w:left="1077" w:hanging="357"/>
        <w:jc w:val="both"/>
        <w:rPr>
          <w:rFonts w:asciiTheme="minorHAnsi" w:eastAsiaTheme="minorHAnsi" w:hAnsiTheme="minorHAnsi" w:cstheme="minorHAnsi"/>
          <w:b/>
          <w:color w:val="000000"/>
          <w:lang w:val="sv-SE"/>
        </w:rPr>
      </w:pPr>
      <w:r>
        <w:rPr>
          <w:rFonts w:asciiTheme="minorHAnsi" w:eastAsiaTheme="minorHAnsi" w:hAnsiTheme="minorHAnsi" w:cstheme="minorHAnsi"/>
          <w:b/>
          <w:bCs/>
          <w:color w:val="000000"/>
          <w:lang w:val="sv-SE"/>
        </w:rPr>
        <w:t>Interimistiska eller andra beslut som inte innehåller någon rättsfråga.</w:t>
      </w:r>
    </w:p>
    <w:p w:rsidR="00035841" w:rsidRPr="00707245" w:rsidRDefault="00035841">
      <w:pPr>
        <w:rPr>
          <w:rFonts w:asciiTheme="minorHAnsi" w:hAnsiTheme="minorHAnsi" w:cstheme="minorHAnsi"/>
          <w:b/>
          <w:i/>
          <w:lang w:val="sv-SE"/>
        </w:rPr>
      </w:pPr>
      <w:r>
        <w:rPr>
          <w:lang w:val="sv-SE"/>
        </w:rPr>
        <w:br w:type="page"/>
      </w:r>
    </w:p>
    <w:p w:rsidR="00955A33" w:rsidRPr="00707245" w:rsidRDefault="00955A33" w:rsidP="00B27B2F">
      <w:pPr>
        <w:pStyle w:val="Heading1"/>
        <w:spacing w:before="360" w:beforeAutospacing="0"/>
        <w:rPr>
          <w:lang w:val="sv-SE"/>
        </w:rPr>
      </w:pPr>
      <w:bookmarkStart w:id="6" w:name="_Toc350765035"/>
      <w:r>
        <w:rPr>
          <w:bCs/>
          <w:iCs/>
          <w:lang w:val="sv-SE"/>
        </w:rPr>
        <w:lastRenderedPageBreak/>
        <w:t>Stilguide</w:t>
      </w:r>
      <w:bookmarkEnd w:id="6"/>
    </w:p>
    <w:p w:rsidR="00955A33" w:rsidRPr="0033389E" w:rsidRDefault="00955A33" w:rsidP="0033389E">
      <w:pPr>
        <w:autoSpaceDE w:val="0"/>
        <w:autoSpaceDN w:val="0"/>
        <w:adjustRightInd w:val="0"/>
        <w:spacing w:before="100" w:beforeAutospacing="1" w:after="100" w:afterAutospacing="1" w:line="240" w:lineRule="auto"/>
        <w:jc w:val="both"/>
        <w:rPr>
          <w:rFonts w:asciiTheme="minorHAnsi" w:hAnsiTheme="minorHAnsi" w:cstheme="minorHAnsi"/>
          <w:color w:val="000000"/>
        </w:rPr>
      </w:pPr>
      <w:r>
        <w:rPr>
          <w:rFonts w:asciiTheme="minorHAnsi" w:hAnsiTheme="minorHAnsi" w:cstheme="minorHAnsi"/>
          <w:color w:val="000000"/>
          <w:lang w:val="sv-SE"/>
        </w:rPr>
        <w:t>Eftersom databasens målgrupp är skiftande och EU-omfattande ska det språk som används vara tillgängligt för alla användare. Nedanstående riktlinjer ska följas:</w:t>
      </w:r>
    </w:p>
    <w:p w:rsidR="00B27B2F" w:rsidRPr="00707245" w:rsidRDefault="00B27B2F" w:rsidP="00B27B2F">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Säkerställ att tydliga och koncisa formuleringar används i hela ärendesammanfattningen och att sammanfattningen är strukturerad och organiserad</w:t>
      </w:r>
      <w:r w:rsidR="00682C01">
        <w:rPr>
          <w:rFonts w:asciiTheme="minorHAnsi" w:hAnsiTheme="minorHAnsi" w:cstheme="minorHAnsi"/>
          <w:lang w:val="sv-SE"/>
        </w:rPr>
        <w:t>.</w:t>
      </w:r>
    </w:p>
    <w:p w:rsidR="00955A33" w:rsidRPr="00707245" w:rsidRDefault="00955A33" w:rsidP="0033389E">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color w:val="000000"/>
          <w:lang w:val="sv-SE"/>
        </w:rPr>
      </w:pPr>
      <w:r>
        <w:rPr>
          <w:rFonts w:asciiTheme="minorHAnsi" w:hAnsiTheme="minorHAnsi" w:cstheme="minorHAnsi"/>
          <w:color w:val="000000"/>
          <w:lang w:val="sv-SE"/>
        </w:rPr>
        <w:t xml:space="preserve">Undvik omständliga konstruktioner som till exempel: ”Domare X hade åsikten att ...” eller ”Domstolen tog under övervägande om ...” </w:t>
      </w:r>
    </w:p>
    <w:p w:rsidR="00B27B2F" w:rsidRPr="0033389E" w:rsidRDefault="00B27B2F" w:rsidP="00B27B2F">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color w:val="000000"/>
        </w:rPr>
      </w:pPr>
      <w:r>
        <w:rPr>
          <w:rFonts w:asciiTheme="minorHAnsi" w:hAnsiTheme="minorHAnsi" w:cstheme="minorHAnsi"/>
          <w:color w:val="000000"/>
          <w:lang w:val="sv-SE"/>
        </w:rPr>
        <w:t>Undvik latinska begrepp</w:t>
      </w:r>
      <w:r w:rsidR="00682C01">
        <w:rPr>
          <w:rFonts w:asciiTheme="minorHAnsi" w:hAnsiTheme="minorHAnsi" w:cstheme="minorHAnsi"/>
          <w:color w:val="000000"/>
          <w:lang w:val="sv-SE"/>
        </w:rPr>
        <w:t>.</w:t>
      </w:r>
      <w:r>
        <w:rPr>
          <w:rFonts w:asciiTheme="minorHAnsi" w:hAnsiTheme="minorHAnsi" w:cstheme="minorHAnsi"/>
          <w:color w:val="000000"/>
          <w:lang w:val="sv-SE"/>
        </w:rPr>
        <w:t xml:space="preserve"> </w:t>
      </w:r>
    </w:p>
    <w:p w:rsidR="00B27B2F" w:rsidRPr="00707245" w:rsidRDefault="00B27B2F" w:rsidP="00B27B2F">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color w:val="000000"/>
          <w:lang w:val="sv-SE"/>
        </w:rPr>
      </w:pPr>
      <w:r>
        <w:rPr>
          <w:rFonts w:asciiTheme="minorHAnsi" w:hAnsiTheme="minorHAnsi" w:cstheme="minorHAnsi"/>
          <w:color w:val="000000"/>
          <w:lang w:val="sv-SE"/>
        </w:rPr>
        <w:t>Undvik terminologi och juridisk fraseologi som är landsspecifik, till exempel ska brittiska och irländska ärendesammanfattningar vara tillgängliga för dem som endast är bekanta med romersk rätt</w:t>
      </w:r>
      <w:r w:rsidR="00682C01">
        <w:rPr>
          <w:rFonts w:asciiTheme="minorHAnsi" w:hAnsiTheme="minorHAnsi" w:cstheme="minorHAnsi"/>
          <w:color w:val="000000"/>
          <w:lang w:val="sv-SE"/>
        </w:rPr>
        <w:t>.</w:t>
      </w:r>
    </w:p>
    <w:p w:rsidR="00955A33" w:rsidRPr="00707245" w:rsidRDefault="00955A33" w:rsidP="0033389E">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Använd frasen ”sökande från land x”</w:t>
      </w:r>
      <w:r w:rsidR="00682C01">
        <w:rPr>
          <w:rFonts w:asciiTheme="minorHAnsi" w:hAnsiTheme="minorHAnsi" w:cstheme="minorHAnsi"/>
          <w:lang w:val="sv-SE"/>
        </w:rPr>
        <w:t>.</w:t>
      </w:r>
    </w:p>
    <w:p w:rsidR="00955A33" w:rsidRPr="00707245" w:rsidRDefault="00955A33" w:rsidP="0033389E">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Använd frasen ”sökanden” snarare än ”Fru X”</w:t>
      </w:r>
      <w:r w:rsidR="00682C01">
        <w:rPr>
          <w:rFonts w:asciiTheme="minorHAnsi" w:hAnsiTheme="minorHAnsi" w:cstheme="minorHAnsi"/>
          <w:lang w:val="sv-SE"/>
        </w:rPr>
        <w:t>.</w:t>
      </w:r>
    </w:p>
    <w:p w:rsidR="00955A33" w:rsidRPr="00707245" w:rsidRDefault="00955A33" w:rsidP="0033389E">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Använd positiva formuleringar och undvik passiva formuleringar om möjligt</w:t>
      </w:r>
      <w:r w:rsidR="00682C01">
        <w:rPr>
          <w:rFonts w:asciiTheme="minorHAnsi" w:hAnsiTheme="minorHAnsi" w:cstheme="minorHAnsi"/>
          <w:lang w:val="sv-SE"/>
        </w:rPr>
        <w:t>.</w:t>
      </w:r>
    </w:p>
    <w:p w:rsidR="00955A33" w:rsidRPr="00707245" w:rsidRDefault="00955A33" w:rsidP="0033389E">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Säkerställ konsekvens och korrekthet vid beskrivning: beskriv ärendet som ansökan, överklagan etc. och inblandade personer som sökande, klagande etc.</w:t>
      </w:r>
    </w:p>
    <w:p w:rsidR="00B27B2F" w:rsidRPr="00707245" w:rsidRDefault="005128C0" w:rsidP="0033389E">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Anonymisera sammanfattningen genom att ta bort alla referenser till sökandens namn och adress samt namn och adress för personer hos vilka de bor eller på annat sätt har associationer till.</w:t>
      </w:r>
    </w:p>
    <w:p w:rsidR="00955A33" w:rsidRPr="00707245" w:rsidRDefault="00B27B2F" w:rsidP="0033389E">
      <w:pPr>
        <w:numPr>
          <w:ilvl w:val="0"/>
          <w:numId w:val="9"/>
        </w:numPr>
        <w:autoSpaceDE w:val="0"/>
        <w:autoSpaceDN w:val="0"/>
        <w:adjustRightInd w:val="0"/>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Originaldomen som den uppladdades/länkades till måste också anonymiseras helt och hållet i enlighet med EU-lag och enligt den standard som krävs av relevant inhemsk lagstiftning.</w:t>
      </w:r>
    </w:p>
    <w:p w:rsidR="00E10440" w:rsidRPr="00707245" w:rsidRDefault="002F2058" w:rsidP="0033389E">
      <w:p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 xml:space="preserve">Ärendesammanfattningar ska inte överstiga </w:t>
      </w:r>
      <w:r>
        <w:rPr>
          <w:rFonts w:asciiTheme="minorHAnsi" w:hAnsiTheme="minorHAnsi" w:cstheme="minorHAnsi"/>
          <w:b/>
          <w:bCs/>
          <w:lang w:val="sv-SE"/>
        </w:rPr>
        <w:t>1000 ord</w:t>
      </w:r>
      <w:r>
        <w:rPr>
          <w:rFonts w:asciiTheme="minorHAnsi" w:hAnsiTheme="minorHAnsi" w:cstheme="minorHAnsi"/>
          <w:lang w:val="sv-SE"/>
        </w:rPr>
        <w:t xml:space="preserve"> såvida det inte är absolut nödvändigt, och de får aldrig överstiga 1350 ord. Sammanfattningar behöver inte innefatta alla aspekter eller frågor i det valda ärendet, men de ska innefatta dem som är betydelsefulla och relevanta fö</w:t>
      </w:r>
      <w:r w:rsidR="00707245">
        <w:rPr>
          <w:rFonts w:asciiTheme="minorHAnsi" w:hAnsiTheme="minorHAnsi" w:cstheme="minorHAnsi"/>
          <w:lang w:val="sv-SE"/>
        </w:rPr>
        <w:t xml:space="preserve">r målsättningen med databasen. </w:t>
      </w:r>
    </w:p>
    <w:p w:rsidR="00E10440" w:rsidRPr="00707245" w:rsidRDefault="00E10440" w:rsidP="00B27B2F">
      <w:pPr>
        <w:pStyle w:val="Heading1"/>
        <w:spacing w:before="360" w:beforeAutospacing="0"/>
        <w:rPr>
          <w:lang w:val="sv-SE"/>
        </w:rPr>
      </w:pPr>
      <w:bookmarkStart w:id="7" w:name="_Toc350765036"/>
      <w:r>
        <w:rPr>
          <w:bCs/>
          <w:iCs/>
          <w:lang w:val="sv-SE"/>
        </w:rPr>
        <w:t>Använda nyckelord</w:t>
      </w:r>
      <w:bookmarkEnd w:id="7"/>
    </w:p>
    <w:p w:rsidR="00E10440" w:rsidRPr="00707245" w:rsidRDefault="00E10440" w:rsidP="0033389E">
      <w:pPr>
        <w:spacing w:before="100" w:beforeAutospacing="1" w:after="100" w:afterAutospacing="1" w:line="240" w:lineRule="auto"/>
        <w:jc w:val="both"/>
        <w:rPr>
          <w:rFonts w:asciiTheme="minorHAnsi" w:hAnsiTheme="minorHAnsi" w:cstheme="minorHAnsi"/>
          <w:lang w:val="sv-SE"/>
        </w:rPr>
      </w:pPr>
      <w:r>
        <w:rPr>
          <w:rFonts w:asciiTheme="minorHAnsi" w:hAnsiTheme="minorHAnsi" w:cstheme="minorHAnsi"/>
          <w:lang w:val="sv-SE"/>
        </w:rPr>
        <w:t xml:space="preserve">Det är nödvändigt med korrekt och konsekvent användning av nyckelord är för att kunna upprätthålla konsekvens mellan olika ärenden och för att länka till CEAS terminologi, som underlättar komparativ analys. Alla EDAL-nyckelord härrör från terminologi som används i direktiv och förordningar eller av andra officiella källor som UNHCR och Internationella organisationen för migration. De ska användas i den inledande sammanfattningen och texten i varje ärendesammanfattning. Till exempel ska termen ”ensamkommande barn” användas istället för ”åtskilt barn”, termen ”mottagningsenhet” istället för ”flyktingförläggning” och termen ”internt skydd” istället för </w:t>
      </w:r>
      <w:r w:rsidR="00707245">
        <w:rPr>
          <w:rFonts w:asciiTheme="minorHAnsi" w:hAnsiTheme="minorHAnsi" w:cstheme="minorHAnsi"/>
          <w:lang w:val="sv-SE"/>
        </w:rPr>
        <w:t xml:space="preserve">”internt flyktalternativ” etc. </w:t>
      </w:r>
    </w:p>
    <w:p w:rsidR="005C064D" w:rsidRPr="00707245" w:rsidRDefault="005C064D" w:rsidP="00B27B2F">
      <w:pPr>
        <w:pStyle w:val="Heading1"/>
        <w:spacing w:before="360" w:beforeAutospacing="0"/>
        <w:rPr>
          <w:lang w:val="sv-SE"/>
        </w:rPr>
      </w:pPr>
      <w:bookmarkStart w:id="8" w:name="_Toc350765037"/>
      <w:r>
        <w:rPr>
          <w:bCs/>
          <w:iCs/>
          <w:lang w:val="sv-SE"/>
        </w:rPr>
        <w:t>Ärandesammanfattningsmall</w:t>
      </w:r>
      <w:bookmarkEnd w:id="8"/>
    </w:p>
    <w:p w:rsidR="00B25645" w:rsidRPr="00707245" w:rsidRDefault="002015C1" w:rsidP="0033389E">
      <w:pPr>
        <w:spacing w:before="100" w:beforeAutospacing="1" w:after="100" w:afterAutospacing="1" w:line="240" w:lineRule="auto"/>
        <w:jc w:val="both"/>
        <w:rPr>
          <w:rFonts w:asciiTheme="minorHAnsi" w:hAnsiTheme="minorHAnsi" w:cstheme="minorHAnsi"/>
          <w:noProof/>
          <w:lang w:val="sv-SE"/>
        </w:rPr>
      </w:pPr>
      <w:r>
        <w:rPr>
          <w:rFonts w:asciiTheme="minorHAnsi" w:hAnsiTheme="minorHAnsi" w:cstheme="minorHAnsi"/>
          <w:lang w:val="sv-SE"/>
        </w:rPr>
        <w:t>En särskild mall tillhandahålls för förberedande av ärendesammanfattningar. Nationella experter måste strikt följa denna mall för att konsekvens ska kunna säkerställas i hela databasen. Arbetet har redan påbörjats med administrationsdelen av denna webbplats, som när den är färdig kommer att underlätta direktuppladdning av sammanfattningar på internet med samma format.</w:t>
      </w:r>
    </w:p>
    <w:p w:rsidR="00362F16" w:rsidRPr="00707245" w:rsidRDefault="00362F16">
      <w:pPr>
        <w:rPr>
          <w:rFonts w:asciiTheme="minorHAnsi" w:hAnsiTheme="minorHAnsi" w:cstheme="minorHAnsi"/>
          <w:b/>
          <w:i/>
          <w:lang w:val="sv-SE"/>
        </w:rPr>
      </w:pPr>
      <w:r>
        <w:rPr>
          <w:lang w:val="sv-SE"/>
        </w:rPr>
        <w:br w:type="page"/>
      </w:r>
    </w:p>
    <w:p w:rsidR="00145027" w:rsidRPr="00707245" w:rsidRDefault="00145027" w:rsidP="00B27B2F">
      <w:pPr>
        <w:pStyle w:val="Heading1"/>
        <w:spacing w:before="360" w:beforeAutospacing="0"/>
        <w:rPr>
          <w:lang w:val="sv-SE"/>
        </w:rPr>
      </w:pPr>
      <w:bookmarkStart w:id="9" w:name="_Toc350765038"/>
      <w:r>
        <w:rPr>
          <w:bCs/>
          <w:iCs/>
          <w:lang w:val="sv-SE"/>
        </w:rPr>
        <w:lastRenderedPageBreak/>
        <w:t>Landsöversikt</w:t>
      </w:r>
      <w:bookmarkEnd w:id="9"/>
    </w:p>
    <w:p w:rsidR="00145027" w:rsidRPr="00707245" w:rsidRDefault="00145027" w:rsidP="008914A6">
      <w:pPr>
        <w:spacing w:after="0" w:line="240" w:lineRule="auto"/>
        <w:jc w:val="both"/>
        <w:rPr>
          <w:lang w:val="sv-SE"/>
        </w:rPr>
      </w:pPr>
      <w:r>
        <w:rPr>
          <w:lang w:val="sv-SE"/>
        </w:rPr>
        <w:t>Landsöversikten innehåller en översikt över nationella juridiska ramverk för ansökningar, beslut och överklaganden gällande asyl och subsidiärt skyd</w:t>
      </w:r>
      <w:r w:rsidR="00707245">
        <w:rPr>
          <w:lang w:val="sv-SE"/>
        </w:rPr>
        <w:t>d, inklusive följande punkter:</w:t>
      </w:r>
    </w:p>
    <w:p w:rsidR="008914A6" w:rsidRPr="00707245" w:rsidRDefault="008914A6" w:rsidP="008914A6">
      <w:pPr>
        <w:spacing w:after="0" w:line="240" w:lineRule="auto"/>
        <w:jc w:val="both"/>
        <w:rPr>
          <w:lang w:val="sv-SE"/>
        </w:rPr>
      </w:pPr>
    </w:p>
    <w:p w:rsidR="00501405" w:rsidRDefault="00145027" w:rsidP="00A82484">
      <w:pPr>
        <w:numPr>
          <w:ilvl w:val="0"/>
          <w:numId w:val="5"/>
        </w:numPr>
        <w:spacing w:after="0" w:line="240" w:lineRule="auto"/>
        <w:ind w:right="521"/>
      </w:pPr>
      <w:r>
        <w:rPr>
          <w:lang w:val="sv-SE"/>
        </w:rPr>
        <w:t>Var lämnar individer in asylansökningar (vid gränsmyndigheten, till immigrationstjänstemän, till polisen eller till utsedd asylinstans/asylkontor) när de anländer? Kan individer ansöka när de är i förvar?</w:t>
      </w:r>
    </w:p>
    <w:p w:rsidR="00145027" w:rsidRPr="00707245" w:rsidRDefault="00145027" w:rsidP="003C4CB9">
      <w:pPr>
        <w:numPr>
          <w:ilvl w:val="0"/>
          <w:numId w:val="5"/>
        </w:numPr>
        <w:spacing w:after="0" w:line="240" w:lineRule="auto"/>
        <w:ind w:right="521"/>
        <w:jc w:val="both"/>
        <w:rPr>
          <w:lang w:val="sv-SE"/>
        </w:rPr>
      </w:pPr>
      <w:r>
        <w:rPr>
          <w:lang w:val="sv-SE"/>
        </w:rPr>
        <w:t>Förklaring av respektive romersk rätt eller anglosaxisk rätt.</w:t>
      </w:r>
    </w:p>
    <w:p w:rsidR="00145027" w:rsidRPr="00707245" w:rsidRDefault="00145027" w:rsidP="003C4CB9">
      <w:pPr>
        <w:numPr>
          <w:ilvl w:val="0"/>
          <w:numId w:val="5"/>
        </w:numPr>
        <w:spacing w:after="0" w:line="240" w:lineRule="auto"/>
        <w:ind w:right="521"/>
        <w:jc w:val="both"/>
        <w:rPr>
          <w:lang w:val="sv-SE"/>
        </w:rPr>
      </w:pPr>
      <w:r>
        <w:rPr>
          <w:lang w:val="sv-SE"/>
        </w:rPr>
        <w:t xml:space="preserve">Administrativa eller juridiska beslutsfattare i asylfrågor: struktur, sammansättning, uppgift, kontradiktoriskt system, undersökningssystem. </w:t>
      </w:r>
    </w:p>
    <w:p w:rsidR="00145027" w:rsidRPr="00707245" w:rsidRDefault="00145027" w:rsidP="003C4CB9">
      <w:pPr>
        <w:numPr>
          <w:ilvl w:val="0"/>
          <w:numId w:val="5"/>
        </w:numPr>
        <w:spacing w:after="0" w:line="240" w:lineRule="auto"/>
        <w:ind w:right="521"/>
        <w:jc w:val="both"/>
        <w:rPr>
          <w:lang w:val="sv-SE"/>
        </w:rPr>
      </w:pPr>
      <w:r>
        <w:rPr>
          <w:lang w:val="sv-SE"/>
        </w:rPr>
        <w:t>Strukturer och mekanismer för överklagan.</w:t>
      </w:r>
    </w:p>
    <w:p w:rsidR="00065F0D" w:rsidRDefault="00145027" w:rsidP="003C4CB9">
      <w:pPr>
        <w:numPr>
          <w:ilvl w:val="0"/>
          <w:numId w:val="5"/>
        </w:numPr>
        <w:spacing w:after="0" w:line="240" w:lineRule="auto"/>
        <w:ind w:right="521"/>
        <w:jc w:val="both"/>
      </w:pPr>
      <w:r>
        <w:rPr>
          <w:lang w:val="sv-SE"/>
        </w:rPr>
        <w:t>Suspensiv verkan för överklaganden.</w:t>
      </w:r>
    </w:p>
    <w:p w:rsidR="00065F0D" w:rsidRPr="00707245" w:rsidRDefault="00A93E74" w:rsidP="003C4CB9">
      <w:pPr>
        <w:numPr>
          <w:ilvl w:val="0"/>
          <w:numId w:val="5"/>
        </w:numPr>
        <w:spacing w:after="0" w:line="240" w:lineRule="auto"/>
        <w:ind w:right="521"/>
        <w:jc w:val="both"/>
        <w:rPr>
          <w:lang w:val="sv-SE"/>
        </w:rPr>
      </w:pPr>
      <w:r>
        <w:rPr>
          <w:lang w:val="sv-SE"/>
        </w:rPr>
        <w:t xml:space="preserve">Rätt till </w:t>
      </w:r>
      <w:r w:rsidR="001A74B6">
        <w:rPr>
          <w:lang w:val="sv-SE"/>
        </w:rPr>
        <w:t xml:space="preserve">offentligt biträde </w:t>
      </w:r>
      <w:r>
        <w:rPr>
          <w:lang w:val="sv-SE"/>
        </w:rPr>
        <w:t xml:space="preserve">och tillgång till rättshjälp. </w:t>
      </w:r>
    </w:p>
    <w:p w:rsidR="00145027" w:rsidRPr="00707245" w:rsidRDefault="00915949" w:rsidP="003C4CB9">
      <w:pPr>
        <w:numPr>
          <w:ilvl w:val="0"/>
          <w:numId w:val="5"/>
        </w:numPr>
        <w:spacing w:after="0" w:line="240" w:lineRule="auto"/>
        <w:ind w:right="521"/>
        <w:jc w:val="both"/>
        <w:rPr>
          <w:lang w:val="sv-SE"/>
        </w:rPr>
      </w:pPr>
      <w:r>
        <w:rPr>
          <w:lang w:val="sv-SE"/>
        </w:rPr>
        <w:t>Alla särskilda juridiska villkor som uppträder regelbundet i relevant rättspraxis och som är landsspecifik.</w:t>
      </w:r>
    </w:p>
    <w:p w:rsidR="008914A6" w:rsidRPr="00707245" w:rsidRDefault="008914A6" w:rsidP="008914A6">
      <w:pPr>
        <w:spacing w:after="0" w:line="240" w:lineRule="auto"/>
        <w:ind w:left="360"/>
        <w:jc w:val="both"/>
        <w:rPr>
          <w:lang w:val="sv-SE"/>
        </w:rPr>
      </w:pPr>
    </w:p>
    <w:p w:rsidR="00145027" w:rsidRDefault="003C4CB9" w:rsidP="008914A6">
      <w:pPr>
        <w:spacing w:after="0" w:line="240" w:lineRule="auto"/>
        <w:jc w:val="both"/>
      </w:pPr>
      <w:r>
        <w:rPr>
          <w:lang w:val="sv-SE"/>
        </w:rPr>
        <w:t xml:space="preserve">Landsöversikter kräver periodiskt återkommande granskning för att man ska kunna säkerställa att dessa är aktuella, särskilt med omarbetningen av CEAS-lagstiftningen i minne. Ändringar måste avspegla till exempel: </w:t>
      </w:r>
    </w:p>
    <w:p w:rsidR="008914A6" w:rsidRPr="00951D4C" w:rsidRDefault="008914A6" w:rsidP="008914A6">
      <w:pPr>
        <w:spacing w:after="0" w:line="240" w:lineRule="auto"/>
        <w:jc w:val="both"/>
      </w:pPr>
    </w:p>
    <w:p w:rsidR="00145027" w:rsidRPr="00707245" w:rsidRDefault="00790C85" w:rsidP="003C4CB9">
      <w:pPr>
        <w:pStyle w:val="ListParagraph"/>
        <w:numPr>
          <w:ilvl w:val="0"/>
          <w:numId w:val="7"/>
        </w:numPr>
        <w:spacing w:after="0" w:line="240" w:lineRule="auto"/>
        <w:ind w:right="521"/>
        <w:jc w:val="both"/>
        <w:rPr>
          <w:lang w:val="sv-SE"/>
        </w:rPr>
      </w:pPr>
      <w:r>
        <w:rPr>
          <w:lang w:val="sv-SE"/>
        </w:rPr>
        <w:t>Förändringar som utförts i strukturer på nationell nivå till följd av nationell eller internationell utveckling, eller</w:t>
      </w:r>
    </w:p>
    <w:p w:rsidR="00145027" w:rsidRPr="00707245" w:rsidRDefault="00790C85" w:rsidP="003C4CB9">
      <w:pPr>
        <w:pStyle w:val="ListParagraph"/>
        <w:numPr>
          <w:ilvl w:val="0"/>
          <w:numId w:val="7"/>
        </w:numPr>
        <w:spacing w:after="0" w:line="240" w:lineRule="auto"/>
        <w:ind w:right="521"/>
        <w:jc w:val="both"/>
        <w:rPr>
          <w:lang w:val="sv-SE"/>
        </w:rPr>
      </w:pPr>
      <w:r>
        <w:rPr>
          <w:lang w:val="sv-SE"/>
        </w:rPr>
        <w:t xml:space="preserve">Åtgärder för att underteckna och införliva originalet och omarbeta direktiv och förordningar. </w:t>
      </w:r>
    </w:p>
    <w:sectPr w:rsidR="00145027" w:rsidRPr="00707245" w:rsidSect="00B15A12">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44C" w:rsidRDefault="0041644C" w:rsidP="00024361">
      <w:pPr>
        <w:spacing w:after="0" w:line="240" w:lineRule="auto"/>
      </w:pPr>
      <w:r>
        <w:separator/>
      </w:r>
    </w:p>
  </w:endnote>
  <w:endnote w:type="continuationSeparator" w:id="0">
    <w:p w:rsidR="0041644C" w:rsidRDefault="0041644C" w:rsidP="000243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20002A87" w:usb1="00000000" w:usb2="00000000"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Arial"/>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929351"/>
      <w:docPartObj>
        <w:docPartGallery w:val="Page Numbers (Bottom of Page)"/>
        <w:docPartUnique/>
      </w:docPartObj>
    </w:sdtPr>
    <w:sdtEndPr>
      <w:rPr>
        <w:color w:val="808080" w:themeColor="background1" w:themeShade="80"/>
        <w:spacing w:val="60"/>
      </w:rPr>
    </w:sdtEndPr>
    <w:sdtContent>
      <w:p w:rsidR="00EB79C2" w:rsidRDefault="008757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DC551C" w:rsidRPr="00DC551C">
          <w:rPr>
            <w:noProof/>
            <w:lang w:val="sv-SE"/>
          </w:rPr>
          <w:t>1</w:t>
        </w:r>
        <w:r>
          <w:rPr>
            <w:noProof/>
            <w:lang w:val="sv-SE"/>
          </w:rPr>
          <w:fldChar w:fldCharType="end"/>
        </w:r>
        <w:r w:rsidR="00EB79C2">
          <w:rPr>
            <w:lang w:val="sv-SE"/>
          </w:rPr>
          <w:t xml:space="preserve"> </w:t>
        </w:r>
        <w:r w:rsidR="00EB79C2">
          <w:rPr>
            <w:lang w:val="sv-SE"/>
          </w:rPr>
          <w:t xml:space="preserve">| </w:t>
        </w:r>
        <w:r w:rsidR="00EB79C2">
          <w:rPr>
            <w:color w:val="808080" w:themeColor="background1" w:themeShade="80"/>
            <w:lang w:val="sv-SE"/>
          </w:rPr>
          <w:t>Sida</w:t>
        </w:r>
      </w:p>
    </w:sdtContent>
  </w:sdt>
  <w:p w:rsidR="00EB79C2" w:rsidRDefault="00EB7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44C" w:rsidRDefault="0041644C" w:rsidP="00024361">
      <w:pPr>
        <w:spacing w:after="0" w:line="240" w:lineRule="auto"/>
      </w:pPr>
      <w:r>
        <w:separator/>
      </w:r>
    </w:p>
  </w:footnote>
  <w:footnote w:type="continuationSeparator" w:id="0">
    <w:p w:rsidR="0041644C" w:rsidRDefault="0041644C" w:rsidP="000243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B82"/>
    <w:multiLevelType w:val="hybridMultilevel"/>
    <w:tmpl w:val="127EE81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03B85376"/>
    <w:multiLevelType w:val="hybridMultilevel"/>
    <w:tmpl w:val="1ADE40A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1869A2"/>
    <w:multiLevelType w:val="hybridMultilevel"/>
    <w:tmpl w:val="8D78B2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D0E04C5"/>
    <w:multiLevelType w:val="hybridMultilevel"/>
    <w:tmpl w:val="54FCD2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EBB41B2"/>
    <w:multiLevelType w:val="hybridMultilevel"/>
    <w:tmpl w:val="F8F8FD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F3235CA"/>
    <w:multiLevelType w:val="hybridMultilevel"/>
    <w:tmpl w:val="75083DB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EAB4C65"/>
    <w:multiLevelType w:val="multilevel"/>
    <w:tmpl w:val="185A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CC3BAE"/>
    <w:multiLevelType w:val="hybridMultilevel"/>
    <w:tmpl w:val="926E15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nsid w:val="28B73F2F"/>
    <w:multiLevelType w:val="hybridMultilevel"/>
    <w:tmpl w:val="61F8C5A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9">
    <w:nsid w:val="2C1723AC"/>
    <w:multiLevelType w:val="hybridMultilevel"/>
    <w:tmpl w:val="684820B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30C706CE"/>
    <w:multiLevelType w:val="hybridMultilevel"/>
    <w:tmpl w:val="7C6CC9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333535F8"/>
    <w:multiLevelType w:val="hybridMultilevel"/>
    <w:tmpl w:val="4224BE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376E30D8"/>
    <w:multiLevelType w:val="hybridMultilevel"/>
    <w:tmpl w:val="F816F9D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3E701977"/>
    <w:multiLevelType w:val="hybridMultilevel"/>
    <w:tmpl w:val="3B3CE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47821770"/>
    <w:multiLevelType w:val="hybridMultilevel"/>
    <w:tmpl w:val="C08648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A17183A"/>
    <w:multiLevelType w:val="hybridMultilevel"/>
    <w:tmpl w:val="C2F4B1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A9C7DC4"/>
    <w:multiLevelType w:val="hybridMultilevel"/>
    <w:tmpl w:val="52342B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BFC4B99"/>
    <w:multiLevelType w:val="hybridMultilevel"/>
    <w:tmpl w:val="F92491B8"/>
    <w:lvl w:ilvl="0" w:tplc="DF72AF4A">
      <w:start w:val="1"/>
      <w:numFmt w:val="upperLetter"/>
      <w:lvlText w:val="%1."/>
      <w:lvlJc w:val="left"/>
      <w:pPr>
        <w:ind w:left="720" w:hanging="360"/>
      </w:pPr>
      <w:rPr>
        <w:rFonts w:asciiTheme="minorHAnsi" w:eastAsiaTheme="minorHAnsi" w:hAnsiTheme="minorHAnsi" w:cstheme="minorHAnsi" w:hint="default"/>
        <w:b/>
        <w:i w:val="0"/>
        <w:color w:val="00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CB63035"/>
    <w:multiLevelType w:val="hybridMultilevel"/>
    <w:tmpl w:val="54FCD2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D544488"/>
    <w:multiLevelType w:val="hybridMultilevel"/>
    <w:tmpl w:val="90E07E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1B97ACD"/>
    <w:multiLevelType w:val="hybridMultilevel"/>
    <w:tmpl w:val="B3CC3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2611B41"/>
    <w:multiLevelType w:val="hybridMultilevel"/>
    <w:tmpl w:val="79B23F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60B39F6"/>
    <w:multiLevelType w:val="hybridMultilevel"/>
    <w:tmpl w:val="ABD6B6F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nsid w:val="57FB077C"/>
    <w:multiLevelType w:val="hybridMultilevel"/>
    <w:tmpl w:val="A2F4F2A4"/>
    <w:lvl w:ilvl="0" w:tplc="DBDE5AFE">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A6C36E3"/>
    <w:multiLevelType w:val="hybridMultilevel"/>
    <w:tmpl w:val="AA3C3C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5F127A1E"/>
    <w:multiLevelType w:val="hybridMultilevel"/>
    <w:tmpl w:val="6A9C4A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1B81EAE"/>
    <w:multiLevelType w:val="hybridMultilevel"/>
    <w:tmpl w:val="3D52BF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63533E1D"/>
    <w:multiLevelType w:val="hybridMultilevel"/>
    <w:tmpl w:val="43CE80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64DE6325"/>
    <w:multiLevelType w:val="hybridMultilevel"/>
    <w:tmpl w:val="7C58CE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91E60ED"/>
    <w:multiLevelType w:val="multilevel"/>
    <w:tmpl w:val="185AA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226674"/>
    <w:multiLevelType w:val="hybridMultilevel"/>
    <w:tmpl w:val="5C886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BC11265"/>
    <w:multiLevelType w:val="hybridMultilevel"/>
    <w:tmpl w:val="936E69B6"/>
    <w:lvl w:ilvl="0" w:tplc="556A4320">
      <w:numFmt w:val="bullet"/>
      <w:lvlText w:val="-"/>
      <w:lvlJc w:val="left"/>
      <w:pPr>
        <w:ind w:left="720" w:hanging="360"/>
      </w:pPr>
      <w:rPr>
        <w:rFonts w:ascii="Calibri" w:eastAsia="Calibr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2">
    <w:nsid w:val="6F2A67BE"/>
    <w:multiLevelType w:val="hybridMultilevel"/>
    <w:tmpl w:val="78446EC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3">
    <w:nsid w:val="72B021C4"/>
    <w:multiLevelType w:val="hybridMultilevel"/>
    <w:tmpl w:val="86A265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783B39E1"/>
    <w:multiLevelType w:val="hybridMultilevel"/>
    <w:tmpl w:val="701080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8BA53FD"/>
    <w:multiLevelType w:val="hybridMultilevel"/>
    <w:tmpl w:val="CF0818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3"/>
  </w:num>
  <w:num w:numId="2">
    <w:abstractNumId w:val="35"/>
  </w:num>
  <w:num w:numId="3">
    <w:abstractNumId w:val="2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2"/>
  </w:num>
  <w:num w:numId="7">
    <w:abstractNumId w:val="30"/>
  </w:num>
  <w:num w:numId="8">
    <w:abstractNumId w:val="28"/>
  </w:num>
  <w:num w:numId="9">
    <w:abstractNumId w:val="27"/>
  </w:num>
  <w:num w:numId="10">
    <w:abstractNumId w:val="1"/>
  </w:num>
  <w:num w:numId="11">
    <w:abstractNumId w:val="8"/>
  </w:num>
  <w:num w:numId="12">
    <w:abstractNumId w:val="23"/>
  </w:num>
  <w:num w:numId="13">
    <w:abstractNumId w:val="20"/>
  </w:num>
  <w:num w:numId="14">
    <w:abstractNumId w:val="31"/>
  </w:num>
  <w:num w:numId="15">
    <w:abstractNumId w:val="6"/>
  </w:num>
  <w:num w:numId="16">
    <w:abstractNumId w:val="5"/>
  </w:num>
  <w:num w:numId="17">
    <w:abstractNumId w:val="9"/>
  </w:num>
  <w:num w:numId="18">
    <w:abstractNumId w:val="29"/>
  </w:num>
  <w:num w:numId="19">
    <w:abstractNumId w:val="2"/>
  </w:num>
  <w:num w:numId="20">
    <w:abstractNumId w:val="15"/>
  </w:num>
  <w:num w:numId="21">
    <w:abstractNumId w:val="19"/>
  </w:num>
  <w:num w:numId="22">
    <w:abstractNumId w:val="10"/>
  </w:num>
  <w:num w:numId="23">
    <w:abstractNumId w:val="4"/>
  </w:num>
  <w:num w:numId="24">
    <w:abstractNumId w:val="14"/>
  </w:num>
  <w:num w:numId="25">
    <w:abstractNumId w:val="11"/>
  </w:num>
  <w:num w:numId="26">
    <w:abstractNumId w:val="34"/>
  </w:num>
  <w:num w:numId="27">
    <w:abstractNumId w:val="13"/>
  </w:num>
  <w:num w:numId="28">
    <w:abstractNumId w:val="21"/>
  </w:num>
  <w:num w:numId="29">
    <w:abstractNumId w:val="16"/>
  </w:num>
  <w:num w:numId="30">
    <w:abstractNumId w:val="3"/>
  </w:num>
  <w:num w:numId="31">
    <w:abstractNumId w:val="7"/>
  </w:num>
  <w:num w:numId="32">
    <w:abstractNumId w:val="22"/>
  </w:num>
  <w:num w:numId="33">
    <w:abstractNumId w:val="18"/>
  </w:num>
  <w:num w:numId="34">
    <w:abstractNumId w:val="25"/>
  </w:num>
  <w:num w:numId="35">
    <w:abstractNumId w:val="32"/>
  </w:num>
  <w:num w:numId="36">
    <w:abstractNumId w:val="17"/>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A8"/>
    <w:rsid w:val="00007D9C"/>
    <w:rsid w:val="00010338"/>
    <w:rsid w:val="0001663F"/>
    <w:rsid w:val="00024361"/>
    <w:rsid w:val="00030E0C"/>
    <w:rsid w:val="00035841"/>
    <w:rsid w:val="000447D5"/>
    <w:rsid w:val="00065F0D"/>
    <w:rsid w:val="00066DE9"/>
    <w:rsid w:val="00070E13"/>
    <w:rsid w:val="00073C95"/>
    <w:rsid w:val="00075151"/>
    <w:rsid w:val="00081165"/>
    <w:rsid w:val="000B08BF"/>
    <w:rsid w:val="000B7934"/>
    <w:rsid w:val="000C053A"/>
    <w:rsid w:val="000C4A10"/>
    <w:rsid w:val="000D2409"/>
    <w:rsid w:val="000D3B68"/>
    <w:rsid w:val="000D491F"/>
    <w:rsid w:val="000E3C7D"/>
    <w:rsid w:val="000E6F14"/>
    <w:rsid w:val="00103802"/>
    <w:rsid w:val="001148BE"/>
    <w:rsid w:val="00120E89"/>
    <w:rsid w:val="001244F7"/>
    <w:rsid w:val="00124780"/>
    <w:rsid w:val="00131B2E"/>
    <w:rsid w:val="001331F7"/>
    <w:rsid w:val="00137944"/>
    <w:rsid w:val="00144E35"/>
    <w:rsid w:val="00145027"/>
    <w:rsid w:val="0015064B"/>
    <w:rsid w:val="00152B2C"/>
    <w:rsid w:val="00156645"/>
    <w:rsid w:val="001622EF"/>
    <w:rsid w:val="0016244A"/>
    <w:rsid w:val="001728FD"/>
    <w:rsid w:val="001902C3"/>
    <w:rsid w:val="001A74B6"/>
    <w:rsid w:val="001C026A"/>
    <w:rsid w:val="001D0394"/>
    <w:rsid w:val="001D4561"/>
    <w:rsid w:val="001D724B"/>
    <w:rsid w:val="001E7F0F"/>
    <w:rsid w:val="002015C1"/>
    <w:rsid w:val="00204789"/>
    <w:rsid w:val="00214C94"/>
    <w:rsid w:val="00227540"/>
    <w:rsid w:val="002334D8"/>
    <w:rsid w:val="00234BC7"/>
    <w:rsid w:val="00242EC9"/>
    <w:rsid w:val="002738F8"/>
    <w:rsid w:val="00277332"/>
    <w:rsid w:val="00284F2A"/>
    <w:rsid w:val="00293F81"/>
    <w:rsid w:val="002A17FD"/>
    <w:rsid w:val="002A42EE"/>
    <w:rsid w:val="002B17A9"/>
    <w:rsid w:val="002B7E39"/>
    <w:rsid w:val="002C5711"/>
    <w:rsid w:val="002D22FF"/>
    <w:rsid w:val="002D4741"/>
    <w:rsid w:val="002D7002"/>
    <w:rsid w:val="002F2058"/>
    <w:rsid w:val="003016F5"/>
    <w:rsid w:val="00303D22"/>
    <w:rsid w:val="00313126"/>
    <w:rsid w:val="00321F73"/>
    <w:rsid w:val="003276AF"/>
    <w:rsid w:val="00327BA3"/>
    <w:rsid w:val="0033389E"/>
    <w:rsid w:val="003570AF"/>
    <w:rsid w:val="00362E33"/>
    <w:rsid w:val="00362F16"/>
    <w:rsid w:val="00364CD8"/>
    <w:rsid w:val="00381388"/>
    <w:rsid w:val="00381BBF"/>
    <w:rsid w:val="00383268"/>
    <w:rsid w:val="0039139F"/>
    <w:rsid w:val="00396852"/>
    <w:rsid w:val="003A0B13"/>
    <w:rsid w:val="003A1053"/>
    <w:rsid w:val="003A61D6"/>
    <w:rsid w:val="003A6ECB"/>
    <w:rsid w:val="003B0DDF"/>
    <w:rsid w:val="003B6C06"/>
    <w:rsid w:val="003C4CB9"/>
    <w:rsid w:val="003E30F2"/>
    <w:rsid w:val="003E3F78"/>
    <w:rsid w:val="003E72B0"/>
    <w:rsid w:val="003F3147"/>
    <w:rsid w:val="004148F6"/>
    <w:rsid w:val="0041644C"/>
    <w:rsid w:val="0041750A"/>
    <w:rsid w:val="004179C8"/>
    <w:rsid w:val="00424986"/>
    <w:rsid w:val="00425232"/>
    <w:rsid w:val="0042560A"/>
    <w:rsid w:val="004257A0"/>
    <w:rsid w:val="00426022"/>
    <w:rsid w:val="00433998"/>
    <w:rsid w:val="004358EA"/>
    <w:rsid w:val="00437341"/>
    <w:rsid w:val="004468DA"/>
    <w:rsid w:val="00453130"/>
    <w:rsid w:val="00457CFC"/>
    <w:rsid w:val="00463CE2"/>
    <w:rsid w:val="00472DE6"/>
    <w:rsid w:val="00472F74"/>
    <w:rsid w:val="00480FEE"/>
    <w:rsid w:val="00490150"/>
    <w:rsid w:val="00492366"/>
    <w:rsid w:val="0049503E"/>
    <w:rsid w:val="004B0997"/>
    <w:rsid w:val="004B0B83"/>
    <w:rsid w:val="004B2C95"/>
    <w:rsid w:val="004B2FCE"/>
    <w:rsid w:val="004C447A"/>
    <w:rsid w:val="004C46F0"/>
    <w:rsid w:val="004D0C68"/>
    <w:rsid w:val="004E5AB2"/>
    <w:rsid w:val="004F3210"/>
    <w:rsid w:val="004F3380"/>
    <w:rsid w:val="004F402A"/>
    <w:rsid w:val="004F4F97"/>
    <w:rsid w:val="004F707D"/>
    <w:rsid w:val="00501405"/>
    <w:rsid w:val="005128C0"/>
    <w:rsid w:val="005156CD"/>
    <w:rsid w:val="00522509"/>
    <w:rsid w:val="00525E48"/>
    <w:rsid w:val="0053527E"/>
    <w:rsid w:val="00535C52"/>
    <w:rsid w:val="00536AC9"/>
    <w:rsid w:val="00541DE0"/>
    <w:rsid w:val="005476E6"/>
    <w:rsid w:val="00556893"/>
    <w:rsid w:val="005738CC"/>
    <w:rsid w:val="00573FC5"/>
    <w:rsid w:val="005879F9"/>
    <w:rsid w:val="005A6469"/>
    <w:rsid w:val="005B5D83"/>
    <w:rsid w:val="005C064D"/>
    <w:rsid w:val="005E0BAD"/>
    <w:rsid w:val="005E7A2D"/>
    <w:rsid w:val="006119EB"/>
    <w:rsid w:val="00631A56"/>
    <w:rsid w:val="00634271"/>
    <w:rsid w:val="00654855"/>
    <w:rsid w:val="006642D3"/>
    <w:rsid w:val="00664E49"/>
    <w:rsid w:val="0066691B"/>
    <w:rsid w:val="00670702"/>
    <w:rsid w:val="00677EC2"/>
    <w:rsid w:val="00680EF0"/>
    <w:rsid w:val="00682C01"/>
    <w:rsid w:val="0069019B"/>
    <w:rsid w:val="006913BF"/>
    <w:rsid w:val="006B2A67"/>
    <w:rsid w:val="006D477F"/>
    <w:rsid w:val="006F5145"/>
    <w:rsid w:val="006F52D0"/>
    <w:rsid w:val="00707245"/>
    <w:rsid w:val="007129EF"/>
    <w:rsid w:val="00712C7E"/>
    <w:rsid w:val="00726E9E"/>
    <w:rsid w:val="00734311"/>
    <w:rsid w:val="007406B8"/>
    <w:rsid w:val="00753969"/>
    <w:rsid w:val="007657E5"/>
    <w:rsid w:val="00767EFB"/>
    <w:rsid w:val="007745CC"/>
    <w:rsid w:val="007757B9"/>
    <w:rsid w:val="00784707"/>
    <w:rsid w:val="00785A89"/>
    <w:rsid w:val="00790C85"/>
    <w:rsid w:val="007B7CA9"/>
    <w:rsid w:val="007C0F5A"/>
    <w:rsid w:val="007C1F75"/>
    <w:rsid w:val="007D170A"/>
    <w:rsid w:val="007D2786"/>
    <w:rsid w:val="007D3791"/>
    <w:rsid w:val="007D6865"/>
    <w:rsid w:val="007E04FD"/>
    <w:rsid w:val="007E3428"/>
    <w:rsid w:val="007F10FF"/>
    <w:rsid w:val="007F2912"/>
    <w:rsid w:val="007F64DC"/>
    <w:rsid w:val="0080196D"/>
    <w:rsid w:val="00807CE5"/>
    <w:rsid w:val="00810A5F"/>
    <w:rsid w:val="0082708E"/>
    <w:rsid w:val="00830661"/>
    <w:rsid w:val="0083130C"/>
    <w:rsid w:val="0083139F"/>
    <w:rsid w:val="00844149"/>
    <w:rsid w:val="00853FA7"/>
    <w:rsid w:val="00872D72"/>
    <w:rsid w:val="00875055"/>
    <w:rsid w:val="00875760"/>
    <w:rsid w:val="008846FC"/>
    <w:rsid w:val="0088565E"/>
    <w:rsid w:val="00886450"/>
    <w:rsid w:val="008914A6"/>
    <w:rsid w:val="00892327"/>
    <w:rsid w:val="008A072E"/>
    <w:rsid w:val="008A33A2"/>
    <w:rsid w:val="008A7474"/>
    <w:rsid w:val="008B05C0"/>
    <w:rsid w:val="008F4F17"/>
    <w:rsid w:val="008F7C10"/>
    <w:rsid w:val="00903697"/>
    <w:rsid w:val="009100E0"/>
    <w:rsid w:val="00915949"/>
    <w:rsid w:val="00922013"/>
    <w:rsid w:val="00932205"/>
    <w:rsid w:val="00933AC8"/>
    <w:rsid w:val="00941D7A"/>
    <w:rsid w:val="00943036"/>
    <w:rsid w:val="00947C2A"/>
    <w:rsid w:val="00951D4C"/>
    <w:rsid w:val="00955A33"/>
    <w:rsid w:val="00956A7C"/>
    <w:rsid w:val="009613D8"/>
    <w:rsid w:val="00963260"/>
    <w:rsid w:val="00963E3E"/>
    <w:rsid w:val="00964E69"/>
    <w:rsid w:val="00967B0B"/>
    <w:rsid w:val="009736E6"/>
    <w:rsid w:val="00977689"/>
    <w:rsid w:val="0098107C"/>
    <w:rsid w:val="009911B7"/>
    <w:rsid w:val="00996C1B"/>
    <w:rsid w:val="009A3269"/>
    <w:rsid w:val="009A79EB"/>
    <w:rsid w:val="009B4D5D"/>
    <w:rsid w:val="009B7248"/>
    <w:rsid w:val="009C39FA"/>
    <w:rsid w:val="009C5E20"/>
    <w:rsid w:val="009D0ABA"/>
    <w:rsid w:val="009D4F30"/>
    <w:rsid w:val="009D6EF5"/>
    <w:rsid w:val="009F183E"/>
    <w:rsid w:val="00A0069E"/>
    <w:rsid w:val="00A03CEF"/>
    <w:rsid w:val="00A061CF"/>
    <w:rsid w:val="00A115E1"/>
    <w:rsid w:val="00A47F6B"/>
    <w:rsid w:val="00A50891"/>
    <w:rsid w:val="00A70002"/>
    <w:rsid w:val="00A70DFF"/>
    <w:rsid w:val="00A82484"/>
    <w:rsid w:val="00A84BA9"/>
    <w:rsid w:val="00A87A1E"/>
    <w:rsid w:val="00A93E74"/>
    <w:rsid w:val="00AA27F8"/>
    <w:rsid w:val="00AA44AC"/>
    <w:rsid w:val="00AA56A1"/>
    <w:rsid w:val="00AB7572"/>
    <w:rsid w:val="00AD630B"/>
    <w:rsid w:val="00AE437F"/>
    <w:rsid w:val="00AE590F"/>
    <w:rsid w:val="00AE729A"/>
    <w:rsid w:val="00B04A84"/>
    <w:rsid w:val="00B120B6"/>
    <w:rsid w:val="00B15A12"/>
    <w:rsid w:val="00B25645"/>
    <w:rsid w:val="00B27B2F"/>
    <w:rsid w:val="00B3323F"/>
    <w:rsid w:val="00B42CEE"/>
    <w:rsid w:val="00B44AE9"/>
    <w:rsid w:val="00B55E04"/>
    <w:rsid w:val="00B62A29"/>
    <w:rsid w:val="00B66D86"/>
    <w:rsid w:val="00B80063"/>
    <w:rsid w:val="00B82E89"/>
    <w:rsid w:val="00B94D20"/>
    <w:rsid w:val="00BA0434"/>
    <w:rsid w:val="00BB5F6C"/>
    <w:rsid w:val="00BC141B"/>
    <w:rsid w:val="00BC546A"/>
    <w:rsid w:val="00BD53F8"/>
    <w:rsid w:val="00BE06E6"/>
    <w:rsid w:val="00BE6518"/>
    <w:rsid w:val="00C0630A"/>
    <w:rsid w:val="00C128FD"/>
    <w:rsid w:val="00C12DD1"/>
    <w:rsid w:val="00C17949"/>
    <w:rsid w:val="00C23B4A"/>
    <w:rsid w:val="00C26944"/>
    <w:rsid w:val="00C315FD"/>
    <w:rsid w:val="00C333C2"/>
    <w:rsid w:val="00C363CC"/>
    <w:rsid w:val="00C37E25"/>
    <w:rsid w:val="00C559DC"/>
    <w:rsid w:val="00C615A8"/>
    <w:rsid w:val="00CA7E7E"/>
    <w:rsid w:val="00CB4CA3"/>
    <w:rsid w:val="00CB6356"/>
    <w:rsid w:val="00CE0BB9"/>
    <w:rsid w:val="00D30009"/>
    <w:rsid w:val="00D40604"/>
    <w:rsid w:val="00D71227"/>
    <w:rsid w:val="00D71E28"/>
    <w:rsid w:val="00D734DB"/>
    <w:rsid w:val="00D74A45"/>
    <w:rsid w:val="00D77ADD"/>
    <w:rsid w:val="00D80B97"/>
    <w:rsid w:val="00D87464"/>
    <w:rsid w:val="00D90C15"/>
    <w:rsid w:val="00D9199C"/>
    <w:rsid w:val="00DB1DF4"/>
    <w:rsid w:val="00DC551C"/>
    <w:rsid w:val="00DC7682"/>
    <w:rsid w:val="00DD115B"/>
    <w:rsid w:val="00DE32BD"/>
    <w:rsid w:val="00DE4D1B"/>
    <w:rsid w:val="00DF507D"/>
    <w:rsid w:val="00DF644A"/>
    <w:rsid w:val="00E03067"/>
    <w:rsid w:val="00E10440"/>
    <w:rsid w:val="00E162EC"/>
    <w:rsid w:val="00E2001A"/>
    <w:rsid w:val="00E20097"/>
    <w:rsid w:val="00E2188C"/>
    <w:rsid w:val="00E269F5"/>
    <w:rsid w:val="00E46B4B"/>
    <w:rsid w:val="00E5152C"/>
    <w:rsid w:val="00E535B9"/>
    <w:rsid w:val="00E7209F"/>
    <w:rsid w:val="00E8090D"/>
    <w:rsid w:val="00E80E92"/>
    <w:rsid w:val="00E86BA8"/>
    <w:rsid w:val="00EA193A"/>
    <w:rsid w:val="00EA1E99"/>
    <w:rsid w:val="00EB70B4"/>
    <w:rsid w:val="00EB79C2"/>
    <w:rsid w:val="00EC5493"/>
    <w:rsid w:val="00ED5578"/>
    <w:rsid w:val="00EE37DA"/>
    <w:rsid w:val="00F13CE9"/>
    <w:rsid w:val="00F25AC5"/>
    <w:rsid w:val="00F45B6A"/>
    <w:rsid w:val="00F45FBF"/>
    <w:rsid w:val="00F5481F"/>
    <w:rsid w:val="00F6274A"/>
    <w:rsid w:val="00F65F91"/>
    <w:rsid w:val="00F70DBF"/>
    <w:rsid w:val="00F71C38"/>
    <w:rsid w:val="00F76821"/>
    <w:rsid w:val="00F8754F"/>
    <w:rsid w:val="00F92007"/>
    <w:rsid w:val="00F928C7"/>
    <w:rsid w:val="00FB1ED3"/>
    <w:rsid w:val="00FB2F38"/>
    <w:rsid w:val="00FB2FDB"/>
    <w:rsid w:val="00FC6C2F"/>
    <w:rsid w:val="00FC6F09"/>
    <w:rsid w:val="00FE20E5"/>
    <w:rsid w:val="00FE2882"/>
    <w:rsid w:val="00FE5CFE"/>
    <w:rsid w:val="00FF252E"/>
    <w:rsid w:val="00FF64F8"/>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A8"/>
    <w:rPr>
      <w:rFonts w:ascii="Calibri" w:eastAsia="Calibri" w:hAnsi="Calibri" w:cs="Times New Roman"/>
    </w:rPr>
  </w:style>
  <w:style w:type="paragraph" w:styleId="Heading1">
    <w:name w:val="heading 1"/>
    <w:basedOn w:val="Normal"/>
    <w:next w:val="Normal"/>
    <w:link w:val="Heading1Char"/>
    <w:uiPriority w:val="9"/>
    <w:qFormat/>
    <w:rsid w:val="001728FD"/>
    <w:pPr>
      <w:spacing w:before="100" w:beforeAutospacing="1" w:after="100" w:afterAutospacing="1" w:line="240" w:lineRule="auto"/>
      <w:jc w:val="both"/>
      <w:outlineLvl w:val="0"/>
    </w:pPr>
    <w:rPr>
      <w:rFonts w:asciiTheme="minorHAnsi" w:hAnsiTheme="minorHAnsi" w:cs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5A8"/>
    <w:rPr>
      <w:color w:val="0000FF"/>
      <w:u w:val="single"/>
    </w:rPr>
  </w:style>
  <w:style w:type="paragraph" w:styleId="BalloonText">
    <w:name w:val="Balloon Text"/>
    <w:basedOn w:val="Normal"/>
    <w:link w:val="BalloonTextChar"/>
    <w:uiPriority w:val="99"/>
    <w:semiHidden/>
    <w:unhideWhenUsed/>
    <w:rsid w:val="00C6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A8"/>
    <w:rPr>
      <w:rFonts w:ascii="Tahoma" w:eastAsia="Calibri" w:hAnsi="Tahoma" w:cs="Tahoma"/>
      <w:sz w:val="16"/>
      <w:szCs w:val="16"/>
    </w:rPr>
  </w:style>
  <w:style w:type="paragraph" w:styleId="ListParagraph">
    <w:name w:val="List Paragraph"/>
    <w:basedOn w:val="Normal"/>
    <w:uiPriority w:val="34"/>
    <w:qFormat/>
    <w:rsid w:val="00C615A8"/>
    <w:pPr>
      <w:ind w:left="720"/>
      <w:contextualSpacing/>
    </w:pPr>
  </w:style>
  <w:style w:type="character" w:styleId="CommentReference">
    <w:name w:val="annotation reference"/>
    <w:basedOn w:val="DefaultParagraphFont"/>
    <w:uiPriority w:val="99"/>
    <w:semiHidden/>
    <w:unhideWhenUsed/>
    <w:rsid w:val="00480FEE"/>
    <w:rPr>
      <w:sz w:val="16"/>
      <w:szCs w:val="16"/>
    </w:rPr>
  </w:style>
  <w:style w:type="paragraph" w:styleId="CommentText">
    <w:name w:val="annotation text"/>
    <w:basedOn w:val="Normal"/>
    <w:link w:val="CommentTextChar"/>
    <w:uiPriority w:val="99"/>
    <w:semiHidden/>
    <w:unhideWhenUsed/>
    <w:rsid w:val="00480FEE"/>
    <w:pPr>
      <w:spacing w:after="0" w:line="240" w:lineRule="auto"/>
    </w:pPr>
    <w:rPr>
      <w:rFonts w:eastAsiaTheme="minorHAnsi" w:cs="Calibri"/>
      <w:sz w:val="20"/>
      <w:szCs w:val="20"/>
      <w:lang w:eastAsia="en-IE"/>
    </w:rPr>
  </w:style>
  <w:style w:type="character" w:customStyle="1" w:styleId="CommentTextChar">
    <w:name w:val="Comment Text Char"/>
    <w:basedOn w:val="DefaultParagraphFont"/>
    <w:link w:val="CommentText"/>
    <w:uiPriority w:val="99"/>
    <w:semiHidden/>
    <w:rsid w:val="00480FEE"/>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480FEE"/>
    <w:rPr>
      <w:b/>
      <w:bCs/>
    </w:rPr>
  </w:style>
  <w:style w:type="character" w:customStyle="1" w:styleId="CommentSubjectChar">
    <w:name w:val="Comment Subject Char"/>
    <w:basedOn w:val="CommentTextChar"/>
    <w:link w:val="CommentSubject"/>
    <w:uiPriority w:val="99"/>
    <w:semiHidden/>
    <w:rsid w:val="00480FEE"/>
    <w:rPr>
      <w:rFonts w:ascii="Calibri" w:hAnsi="Calibri" w:cs="Calibri"/>
      <w:b/>
      <w:bCs/>
      <w:sz w:val="20"/>
      <w:szCs w:val="20"/>
      <w:lang w:eastAsia="en-IE"/>
    </w:rPr>
  </w:style>
  <w:style w:type="table" w:styleId="TableGrid">
    <w:name w:val="Table Grid"/>
    <w:basedOn w:val="TableNormal"/>
    <w:uiPriority w:val="59"/>
    <w:rsid w:val="00E8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361"/>
    <w:rPr>
      <w:rFonts w:ascii="Calibri" w:eastAsia="Calibri" w:hAnsi="Calibri" w:cs="Times New Roman"/>
    </w:rPr>
  </w:style>
  <w:style w:type="paragraph" w:styleId="Footer">
    <w:name w:val="footer"/>
    <w:basedOn w:val="Normal"/>
    <w:link w:val="FooterChar"/>
    <w:uiPriority w:val="99"/>
    <w:unhideWhenUsed/>
    <w:rsid w:val="0002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361"/>
    <w:rPr>
      <w:rFonts w:ascii="Calibri" w:eastAsia="Calibri" w:hAnsi="Calibri" w:cs="Times New Roman"/>
    </w:rPr>
  </w:style>
  <w:style w:type="character" w:customStyle="1" w:styleId="field-content">
    <w:name w:val="field-content"/>
    <w:basedOn w:val="DefaultParagraphFont"/>
    <w:rsid w:val="009911B7"/>
  </w:style>
  <w:style w:type="table" w:customStyle="1" w:styleId="TableGrid1">
    <w:name w:val="Table Grid1"/>
    <w:basedOn w:val="TableNormal"/>
    <w:next w:val="TableGrid"/>
    <w:uiPriority w:val="59"/>
    <w:rsid w:val="003A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28FD"/>
    <w:rPr>
      <w:rFonts w:eastAsia="Calibri" w:cstheme="minorHAnsi"/>
      <w:b/>
      <w:i/>
    </w:rPr>
  </w:style>
  <w:style w:type="paragraph" w:styleId="TOCHeading">
    <w:name w:val="TOC Heading"/>
    <w:basedOn w:val="Heading1"/>
    <w:next w:val="Normal"/>
    <w:uiPriority w:val="39"/>
    <w:unhideWhenUsed/>
    <w:qFormat/>
    <w:rsid w:val="001728FD"/>
    <w:pPr>
      <w:keepNext/>
      <w:keepLines/>
      <w:spacing w:before="480" w:beforeAutospacing="0" w:after="0" w:afterAutospacing="0" w:line="276" w:lineRule="auto"/>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1728FD"/>
    <w:pPr>
      <w:spacing w:after="100"/>
    </w:pPr>
  </w:style>
  <w:style w:type="paragraph" w:styleId="TOC3">
    <w:name w:val="toc 3"/>
    <w:basedOn w:val="Normal"/>
    <w:next w:val="Normal"/>
    <w:autoRedefine/>
    <w:uiPriority w:val="39"/>
    <w:unhideWhenUsed/>
    <w:rsid w:val="001728FD"/>
    <w:pPr>
      <w:spacing w:after="100"/>
      <w:ind w:left="440"/>
    </w:pPr>
  </w:style>
  <w:style w:type="character" w:customStyle="1" w:styleId="views-label">
    <w:name w:val="views-label"/>
    <w:basedOn w:val="DefaultParagraphFont"/>
    <w:rsid w:val="00C269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A8"/>
    <w:rPr>
      <w:rFonts w:ascii="Calibri" w:eastAsia="Calibri" w:hAnsi="Calibri" w:cs="Times New Roman"/>
    </w:rPr>
  </w:style>
  <w:style w:type="paragraph" w:styleId="Heading1">
    <w:name w:val="heading 1"/>
    <w:basedOn w:val="Normal"/>
    <w:next w:val="Normal"/>
    <w:link w:val="Heading1Char"/>
    <w:uiPriority w:val="9"/>
    <w:qFormat/>
    <w:rsid w:val="001728FD"/>
    <w:pPr>
      <w:spacing w:before="100" w:beforeAutospacing="1" w:after="100" w:afterAutospacing="1" w:line="240" w:lineRule="auto"/>
      <w:jc w:val="both"/>
      <w:outlineLvl w:val="0"/>
    </w:pPr>
    <w:rPr>
      <w:rFonts w:asciiTheme="minorHAnsi" w:hAnsiTheme="minorHAnsi" w:cstheme="minorHAns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615A8"/>
    <w:rPr>
      <w:color w:val="0000FF"/>
      <w:u w:val="single"/>
    </w:rPr>
  </w:style>
  <w:style w:type="paragraph" w:styleId="BalloonText">
    <w:name w:val="Balloon Text"/>
    <w:basedOn w:val="Normal"/>
    <w:link w:val="BalloonTextChar"/>
    <w:uiPriority w:val="99"/>
    <w:semiHidden/>
    <w:unhideWhenUsed/>
    <w:rsid w:val="00C61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5A8"/>
    <w:rPr>
      <w:rFonts w:ascii="Tahoma" w:eastAsia="Calibri" w:hAnsi="Tahoma" w:cs="Tahoma"/>
      <w:sz w:val="16"/>
      <w:szCs w:val="16"/>
    </w:rPr>
  </w:style>
  <w:style w:type="paragraph" w:styleId="ListParagraph">
    <w:name w:val="List Paragraph"/>
    <w:basedOn w:val="Normal"/>
    <w:uiPriority w:val="34"/>
    <w:qFormat/>
    <w:rsid w:val="00C615A8"/>
    <w:pPr>
      <w:ind w:left="720"/>
      <w:contextualSpacing/>
    </w:pPr>
  </w:style>
  <w:style w:type="character" w:styleId="CommentReference">
    <w:name w:val="annotation reference"/>
    <w:basedOn w:val="DefaultParagraphFont"/>
    <w:uiPriority w:val="99"/>
    <w:semiHidden/>
    <w:unhideWhenUsed/>
    <w:rsid w:val="00480FEE"/>
    <w:rPr>
      <w:sz w:val="16"/>
      <w:szCs w:val="16"/>
    </w:rPr>
  </w:style>
  <w:style w:type="paragraph" w:styleId="CommentText">
    <w:name w:val="annotation text"/>
    <w:basedOn w:val="Normal"/>
    <w:link w:val="CommentTextChar"/>
    <w:uiPriority w:val="99"/>
    <w:semiHidden/>
    <w:unhideWhenUsed/>
    <w:rsid w:val="00480FEE"/>
    <w:pPr>
      <w:spacing w:after="0" w:line="240" w:lineRule="auto"/>
    </w:pPr>
    <w:rPr>
      <w:rFonts w:eastAsiaTheme="minorHAnsi" w:cs="Calibri"/>
      <w:sz w:val="20"/>
      <w:szCs w:val="20"/>
      <w:lang w:eastAsia="en-IE"/>
    </w:rPr>
  </w:style>
  <w:style w:type="character" w:customStyle="1" w:styleId="CommentTextChar">
    <w:name w:val="Comment Text Char"/>
    <w:basedOn w:val="DefaultParagraphFont"/>
    <w:link w:val="CommentText"/>
    <w:uiPriority w:val="99"/>
    <w:semiHidden/>
    <w:rsid w:val="00480FEE"/>
    <w:rPr>
      <w:rFonts w:ascii="Calibri" w:hAnsi="Calibri" w:cs="Calibri"/>
      <w:sz w:val="20"/>
      <w:szCs w:val="20"/>
      <w:lang w:eastAsia="en-IE"/>
    </w:rPr>
  </w:style>
  <w:style w:type="paragraph" w:styleId="CommentSubject">
    <w:name w:val="annotation subject"/>
    <w:basedOn w:val="CommentText"/>
    <w:next w:val="CommentText"/>
    <w:link w:val="CommentSubjectChar"/>
    <w:uiPriority w:val="99"/>
    <w:semiHidden/>
    <w:unhideWhenUsed/>
    <w:rsid w:val="00480FEE"/>
    <w:rPr>
      <w:b/>
      <w:bCs/>
    </w:rPr>
  </w:style>
  <w:style w:type="character" w:customStyle="1" w:styleId="CommentSubjectChar">
    <w:name w:val="Comment Subject Char"/>
    <w:basedOn w:val="CommentTextChar"/>
    <w:link w:val="CommentSubject"/>
    <w:uiPriority w:val="99"/>
    <w:semiHidden/>
    <w:rsid w:val="00480FEE"/>
    <w:rPr>
      <w:rFonts w:ascii="Calibri" w:hAnsi="Calibri" w:cs="Calibri"/>
      <w:b/>
      <w:bCs/>
      <w:sz w:val="20"/>
      <w:szCs w:val="20"/>
      <w:lang w:eastAsia="en-IE"/>
    </w:rPr>
  </w:style>
  <w:style w:type="table" w:styleId="TableGrid">
    <w:name w:val="Table Grid"/>
    <w:basedOn w:val="TableNormal"/>
    <w:uiPriority w:val="59"/>
    <w:rsid w:val="00E80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3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361"/>
    <w:rPr>
      <w:rFonts w:ascii="Calibri" w:eastAsia="Calibri" w:hAnsi="Calibri" w:cs="Times New Roman"/>
    </w:rPr>
  </w:style>
  <w:style w:type="paragraph" w:styleId="Footer">
    <w:name w:val="footer"/>
    <w:basedOn w:val="Normal"/>
    <w:link w:val="FooterChar"/>
    <w:uiPriority w:val="99"/>
    <w:unhideWhenUsed/>
    <w:rsid w:val="000243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361"/>
    <w:rPr>
      <w:rFonts w:ascii="Calibri" w:eastAsia="Calibri" w:hAnsi="Calibri" w:cs="Times New Roman"/>
    </w:rPr>
  </w:style>
  <w:style w:type="character" w:customStyle="1" w:styleId="field-content">
    <w:name w:val="field-content"/>
    <w:basedOn w:val="DefaultParagraphFont"/>
    <w:rsid w:val="009911B7"/>
  </w:style>
  <w:style w:type="table" w:customStyle="1" w:styleId="TableGrid1">
    <w:name w:val="Table Grid1"/>
    <w:basedOn w:val="TableNormal"/>
    <w:next w:val="TableGrid"/>
    <w:uiPriority w:val="59"/>
    <w:rsid w:val="003A61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28FD"/>
    <w:rPr>
      <w:rFonts w:eastAsia="Calibri" w:cstheme="minorHAnsi"/>
      <w:b/>
      <w:i/>
    </w:rPr>
  </w:style>
  <w:style w:type="paragraph" w:styleId="TOCHeading">
    <w:name w:val="TOC Heading"/>
    <w:basedOn w:val="Heading1"/>
    <w:next w:val="Normal"/>
    <w:uiPriority w:val="39"/>
    <w:unhideWhenUsed/>
    <w:qFormat/>
    <w:rsid w:val="001728FD"/>
    <w:pPr>
      <w:keepNext/>
      <w:keepLines/>
      <w:spacing w:before="480" w:beforeAutospacing="0" w:after="0" w:afterAutospacing="0" w:line="276" w:lineRule="auto"/>
      <w:jc w:val="left"/>
      <w:outlineLvl w:val="9"/>
    </w:pPr>
    <w:rPr>
      <w:rFonts w:asciiTheme="majorHAnsi" w:eastAsiaTheme="majorEastAsia" w:hAnsiTheme="majorHAnsi" w:cstheme="majorBidi"/>
      <w:bCs/>
      <w:i w:val="0"/>
      <w:color w:val="365F91" w:themeColor="accent1" w:themeShade="BF"/>
      <w:sz w:val="28"/>
      <w:szCs w:val="28"/>
      <w:lang w:val="en-US" w:eastAsia="ja-JP"/>
    </w:rPr>
  </w:style>
  <w:style w:type="paragraph" w:styleId="TOC1">
    <w:name w:val="toc 1"/>
    <w:basedOn w:val="Normal"/>
    <w:next w:val="Normal"/>
    <w:autoRedefine/>
    <w:uiPriority w:val="39"/>
    <w:unhideWhenUsed/>
    <w:rsid w:val="001728FD"/>
    <w:pPr>
      <w:spacing w:after="100"/>
    </w:pPr>
  </w:style>
  <w:style w:type="paragraph" w:styleId="TOC3">
    <w:name w:val="toc 3"/>
    <w:basedOn w:val="Normal"/>
    <w:next w:val="Normal"/>
    <w:autoRedefine/>
    <w:uiPriority w:val="39"/>
    <w:unhideWhenUsed/>
    <w:rsid w:val="001728FD"/>
    <w:pPr>
      <w:spacing w:after="100"/>
      <w:ind w:left="440"/>
    </w:pPr>
  </w:style>
  <w:style w:type="character" w:customStyle="1" w:styleId="views-label">
    <w:name w:val="views-label"/>
    <w:basedOn w:val="DefaultParagraphFont"/>
    <w:rsid w:val="00C2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720B-727F-4EE7-A997-39DE87C6D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1919</Words>
  <Characters>10942</Characters>
  <Application>Microsoft Office Word</Application>
  <DocSecurity>0</DocSecurity>
  <Lines>91</Lines>
  <Paragraphs>25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Microsoft</Company>
  <LinksUpToDate>false</LinksUpToDate>
  <CharactersWithSpaces>12836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Campbell</dc:creator>
  <cp:lastModifiedBy>Amanda Taylor</cp:lastModifiedBy>
  <cp:revision>2</cp:revision>
  <cp:lastPrinted>2012-12-03T15:31:00Z</cp:lastPrinted>
  <dcterms:created xsi:type="dcterms:W3CDTF">2015-09-30T10:25:00Z</dcterms:created>
  <dcterms:modified xsi:type="dcterms:W3CDTF">2015-09-30T10:25:00Z</dcterms:modified>
</cp:coreProperties>
</file>